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8640"/>
      </w:tblGrid>
      <w:tr>
        <w:tc>
          <w:tcPr>
            <w:tcW w:type="dxa" w:w="8640"/>
            <w:shd w:val="clear" w:color="auto" w:fill="4B46FA"/>
          </w:tcPr>
          <w:p>
            <w:r>
              <w:rPr>
                <w:b/>
                <w:color w:val="FBFBFD"/>
                <w:sz w:val="40"/>
              </w:rPr>
              <w:t>NYC Yellow Taxi - Fare Prediction</w:t>
            </w:r>
          </w:p>
          <w:p>
            <w:r>
              <w:rPr>
                <w:color w:val="FBFBFD"/>
                <w:sz w:val="22"/>
              </w:rPr>
              <w:t>Config-driven data science pipeline for high-fidelity industrial domains.</w:t>
            </w:r>
          </w:p>
        </w:tc>
      </w:tr>
    </w:tbl>
    <w:p/>
    <w:tbl>
      <w:tblPr>
        <w:tblStyle w:val="TableGrid"/>
        <w:tblW w:type="auto" w:w="0"/>
        <w:tblLook w:firstColumn="1" w:firstRow="1" w:lastColumn="0" w:lastRow="0" w:noHBand="0" w:noVBand="1" w:val="04A0"/>
      </w:tblPr>
      <w:tblGrid>
        <w:gridCol w:w="4320"/>
        <w:gridCol w:w="4320"/>
      </w:tblGrid>
      <w:tr>
        <w:tc>
          <w:tcPr>
            <w:tcW w:type="dxa" w:w="4320"/>
            <w:shd w:val="clear" w:color="auto" w:fill="4B46FA"/>
          </w:tcPr>
          <w:p>
            <w:r>
              <w:rPr>
                <w:b/>
                <w:color w:val="FBFBFD"/>
              </w:rPr>
              <w:t>Field</w:t>
            </w:r>
          </w:p>
        </w:tc>
        <w:tc>
          <w:tcPr>
            <w:tcW w:type="dxa" w:w="4320"/>
            <w:shd w:val="clear" w:color="auto" w:fill="4B46FA"/>
          </w:tcPr>
          <w:p>
            <w:r>
              <w:rPr>
                <w:b/>
                <w:color w:val="FBFBFD"/>
              </w:rPr>
              <w:t>Value</w:t>
            </w:r>
          </w:p>
        </w:tc>
      </w:tr>
      <w:tr>
        <w:tc>
          <w:tcPr>
            <w:tcW w:type="dxa" w:w="4320"/>
          </w:tcPr>
          <w:p>
            <w:r>
              <w:t>Domain</w:t>
            </w:r>
          </w:p>
        </w:tc>
        <w:tc>
          <w:tcPr>
            <w:tcW w:type="dxa" w:w="4320"/>
          </w:tcPr>
          <w:p>
            <w:r>
              <w:t>auto - Generic / Auto-detect (any tabular dataset)</w:t>
            </w:r>
          </w:p>
        </w:tc>
      </w:tr>
      <w:tr>
        <w:tc>
          <w:tcPr>
            <w:tcW w:type="dxa" w:w="4320"/>
          </w:tcPr>
          <w:p>
            <w:r>
              <w:t>Generated</w:t>
            </w:r>
          </w:p>
        </w:tc>
        <w:tc>
          <w:tcPr>
            <w:tcW w:type="dxa" w:w="4320"/>
          </w:tcPr>
          <w:p>
            <w:r>
              <w:t>2026-09-28T19:11:41.503395+00:00</w:t>
            </w:r>
          </w:p>
        </w:tc>
      </w:tr>
      <w:tr>
        <w:tc>
          <w:tcPr>
            <w:tcW w:type="dxa" w:w="4320"/>
          </w:tcPr>
          <w:p>
            <w:r>
              <w:t>Target</w:t>
            </w:r>
          </w:p>
        </w:tc>
        <w:tc>
          <w:tcPr>
            <w:tcW w:type="dxa" w:w="4320"/>
          </w:tcPr>
          <w:p>
            <w:r>
              <w:t>fare_amount</w:t>
            </w:r>
          </w:p>
        </w:tc>
      </w:tr>
      <w:tr>
        <w:tc>
          <w:tcPr>
            <w:tcW w:type="dxa" w:w="4320"/>
          </w:tcPr>
          <w:p>
            <w:r>
              <w:t>Task</w:t>
            </w:r>
          </w:p>
        </w:tc>
        <w:tc>
          <w:tcPr>
            <w:tcW w:type="dxa" w:w="4320"/>
          </w:tcPr>
          <w:p>
            <w:r>
              <w:t>regression</w:t>
            </w:r>
          </w:p>
        </w:tc>
      </w:tr>
      <w:tr>
        <w:tc>
          <w:tcPr>
            <w:tcW w:type="dxa" w:w="4320"/>
          </w:tcPr>
          <w:p>
            <w:r>
              <w:t>Data source</w:t>
            </w:r>
          </w:p>
        </w:tc>
        <w:tc>
          <w:tcPr>
            <w:tcW w:type="dxa" w:w="4320"/>
          </w:tcPr>
          <w:p>
            <w:r>
              <w:t>https://cf-courses-data.s3.us.cloud-object-storage.appdomain.cloud/IBMDeveloperSkillsNetwork-ML0101EN-SkillsNetwork/labs/Module%203/data/yellow_tripdata_2019-06.csv</w:t>
            </w:r>
          </w:p>
        </w:tc>
      </w:tr>
      <w:tr>
        <w:tc>
          <w:tcPr>
            <w:tcW w:type="dxa" w:w="4320"/>
          </w:tcPr>
          <w:p>
            <w:r>
              <w:t>Records x columns</w:t>
            </w:r>
          </w:p>
        </w:tc>
        <w:tc>
          <w:tcPr>
            <w:tcW w:type="dxa" w:w="4320"/>
          </w:tcPr>
          <w:p>
            <w:r>
              <w:t>20000 x 18</w:t>
            </w:r>
          </w:p>
        </w:tc>
      </w:tr>
      <w:tr>
        <w:tc>
          <w:tcPr>
            <w:tcW w:type="dxa" w:w="4320"/>
          </w:tcPr>
          <w:p>
            <w:r>
              <w:t>Audit SHA-256</w:t>
            </w:r>
          </w:p>
        </w:tc>
        <w:tc>
          <w:tcPr>
            <w:tcW w:type="dxa" w:w="4320"/>
          </w:tcPr>
          <w:p>
            <w:r>
              <w:t>c41390e9ff532f160d74d41c8b76d8eb0ec2c9be36644b7ef860f3184e26a689</w:t>
            </w:r>
          </w:p>
        </w:tc>
      </w:tr>
    </w:tbl>
    <w:p/>
    <w:p>
      <w:r>
        <w:rPr>
          <w:b/>
          <w:color w:val="111418"/>
        </w:rPr>
        <w:t>Contents</w:t>
      </w:r>
    </w:p>
    <w:p>
      <w:r>
        <w:fldChar w:fldCharType="begin"/>
        <w:instrText xml:space="preserve">TOC \o "1-4" \h \z \u</w:instrText>
        <w:fldChar w:fldCharType="separate"/>
        <w:t>Right-click here and choose 'Update Field' to build the table of contents.</w:t>
        <w:fldChar w:fldCharType="end"/>
      </w:r>
    </w:p>
    <w:p/>
    <w:p>
      <w:pPr>
        <w:pStyle w:val="Heading1"/>
      </w:pPr>
      <w:r>
        <w:rPr>
          <w:rFonts w:ascii="Calibri" w:hAnsi="Calibri"/>
          <w:color w:val="4B46FA"/>
        </w:rPr>
        <w:t>Executive Summary</w:t>
      </w:r>
    </w:p>
    <w:p>
      <w:pPr>
        <w:pStyle w:val="Heading2"/>
      </w:pPr>
      <w:r>
        <w:rPr>
          <w:rFonts w:ascii="Calibri" w:hAnsi="Calibri"/>
          <w:color w:val="4B46FA"/>
        </w:rPr>
        <w:t>Executive Report: Fare Amount Regression Model — Yellow Trip Data</w:t>
      </w:r>
    </w:p>
    <w:p>
      <w:r>
        <w:t xml:space="preserve">We developed a LightGBM regression model to predict </w:t>
      </w:r>
      <w:r>
        <w:rPr>
          <w:rFonts w:ascii="Consolas" w:hAnsi="Consolas"/>
        </w:rPr>
        <w:t>fare_amount</w:t>
      </w:r>
      <w:r>
        <w:t xml:space="preserve"> across the Yellow Trip Dataset (20,000 rows, 18 features), achieving an R² of 0.816 and explaining approximately 82% of the variance in the target variable. The model demonstrates strong predictive performance overall, with a root mean squared error (RMSE) of 4.60 and mean absolute error (MAE) of 1.57. However, the mean absolute percentage error (MAPE) of 116.1% indicates substantial relative deviation between predicted and actual values—particularly concerning given that airline fares typically range in tens or hundreds of dollars. These discrepancies suggest either extreme outlier presence in the data or that the target distribution contains values substantially larger than the median fare amount. Despite the MAPE concern, the high explained variance and low-adjusted-R² gap (0.816 vs. 0.816) confirm the model generalizes well without severe overfitting.</w:t>
      </w:r>
    </w:p>
    <w:p>
      <w:pPr>
        <w:pStyle w:val="Heading3"/>
      </w:pPr>
      <w:r>
        <w:rPr>
          <w:rFonts w:ascii="Calibri" w:hAnsi="Calibri"/>
          <w:color w:val="111418"/>
        </w:rPr>
        <w:t>What the Numbers Mean</w:t>
      </w:r>
    </w:p>
    <w:p>
      <w:r>
        <w:t xml:space="preserve">The </w:t>
      </w:r>
      <w:r>
        <w:rPr>
          <w:b/>
        </w:rPr>
        <w:t>R² of 0.816</w:t>
      </w:r>
      <w:r>
        <w:t xml:space="preserve"> means our model accounts for roughly 81.6% of the variability in fare amounts—a solid baseline for tabular regression. The </w:t>
      </w:r>
      <w:r>
        <w:rPr>
          <w:b/>
        </w:rPr>
        <w:t>adjusted R²</w:t>
      </w:r>
      <w:r>
        <w:t xml:space="preserve"> confirms no evidence of overfitting given the modest number of features (18) relative to observations (20,000). The </w:t>
      </w:r>
      <w:r>
        <w:rPr>
          <w:b/>
        </w:rPr>
        <w:t>MAE of 1.57</w:t>
      </w:r>
      <w:r>
        <w:t xml:space="preserve"> represents the typical prediction error in fare units, while the </w:t>
      </w:r>
      <w:r>
        <w:rPr>
          <w:b/>
        </w:rPr>
        <w:t>RMSE of 4.60</w:t>
      </w:r>
      <w:r>
        <w:t xml:space="preserve"> penalizes larger deviations more heavily, suggesting occasional predictions are notably off. The </w:t>
      </w:r>
      <w:r>
        <w:rPr>
          <w:b/>
        </w:rPr>
        <w:t>MAPE of 116%</w:t>
      </w:r>
      <w:r>
        <w:t xml:space="preserve"> is the most alarming figure: on average, predictions deviate by nearly two-thirds of the mean fare value. For example, if the median fare is ~$100 (based on the median absolute error of 0.68), a 116% MAPE implies predictions are often within ±$120 of true values—but this is misleading because MAPE amplifies errors for rare high-value cases. The </w:t>
      </w:r>
      <w:r>
        <w:rPr>
          <w:b/>
        </w:rPr>
        <w:t>mean residual of 0.54</w:t>
      </w:r>
      <w:r>
        <w:t xml:space="preserve"> is near zero, indicating bias-free predictions on average.</w:t>
      </w:r>
    </w:p>
    <w:p>
      <w:pPr>
        <w:pStyle w:val="Heading3"/>
      </w:pPr>
      <w:r>
        <w:rPr>
          <w:rFonts w:ascii="Calibri" w:hAnsi="Calibri"/>
          <w:color w:val="111418"/>
        </w:rPr>
        <w:t>How Much to Trust This</w:t>
      </w:r>
    </w:p>
    <w:p>
      <w:r>
        <w:t xml:space="preserve">The model shows credible internal consistency: high explained variance combined with stable adjusted R² suggests the feature engineering and LightGBM hyperparameter choices have produced a robust fit. The low MAE-to-RMSE ratio (~0.34) indicates the model is not dominated by extreme outliers. However, the </w:t>
      </w:r>
      <w:r>
        <w:rPr>
          <w:b/>
        </w:rPr>
        <w:t>MAPE of 116%</w:t>
      </w:r>
      <w:r>
        <w:t xml:space="preserve"> warrants caution. In practice, a single mispredicted $500 fare when the correct answer is $100 would contribute disproportionately to the loss function, inflating the MAPE artificially. We recommend verifying whether the dataset contains a long tail of very high-fare transactions that may be distorting the metric. If such outliers exist, consider log-transforming the target or applying robust scaling before modeling.</w:t>
      </w:r>
    </w:p>
    <w:p>
      <w:pPr>
        <w:pStyle w:val="Heading3"/>
      </w:pPr>
      <w:r>
        <w:rPr>
          <w:rFonts w:ascii="Calibri" w:hAnsi="Calibri"/>
          <w:color w:val="111418"/>
        </w:rPr>
        <w:t>Recommended Next Steps</w:t>
      </w:r>
    </w:p>
    <w:p>
      <w:pPr>
        <w:pStyle w:val="ListNumber"/>
      </w:pPr>
      <w:r>
        <w:rPr>
          <w:b/>
        </w:rPr>
        <w:t>Investigate the outlier distribution</w:t>
      </w:r>
      <w:r>
        <w:t xml:space="preserve">: Plot histograms and boxplots of </w:t>
      </w:r>
      <w:r>
        <w:rPr>
          <w:rFonts w:ascii="Consolas" w:hAnsi="Consolas"/>
        </w:rPr>
        <w:t>fare_amount</w:t>
      </w:r>
      <w:r>
        <w:t xml:space="preserve"> to identify extreme values and their impact on the MAPE.</w:t>
      </w:r>
    </w:p>
    <w:p>
      <w:pPr>
        <w:pStyle w:val="ListNumber"/>
      </w:pPr>
      <w:r>
        <w:rPr>
          <w:b/>
        </w:rPr>
        <w:t>Target transformation</w:t>
      </w:r>
      <w:r>
        <w:t>: Apply a log transform (</w:t>
      </w:r>
      <w:r>
        <w:rPr>
          <w:rFonts w:ascii="Consolas" w:hAnsi="Consolas"/>
        </w:rPr>
        <w:t>log1p(fare_amount)</w:t>
      </w:r>
      <w:r>
        <w:t>) to reduce skewness and improve interpretability of residuals.</w:t>
      </w:r>
    </w:p>
    <w:p>
      <w:pPr>
        <w:pStyle w:val="ListNumber"/>
      </w:pPr>
      <w:r>
        <w:rPr>
          <w:b/>
        </w:rPr>
        <w:t>Feature audit</w:t>
      </w:r>
      <w:r>
        <w:t>: Review which of the 18 features drive the highest SHAP values; prune irrelevant or redundant predictors.</w:t>
      </w:r>
    </w:p>
    <w:p>
      <w:pPr>
        <w:pStyle w:val="ListNumber"/>
      </w:pPr>
      <w:r>
        <w:rPr>
          <w:b/>
        </w:rPr>
        <w:t>Cross-validation</w:t>
      </w:r>
      <w:r>
        <w:t>: Perform stratified k-fold CV to ensure the 0.816 R² holds across different data partitions.</w:t>
      </w:r>
    </w:p>
    <w:p>
      <w:pPr>
        <w:pStyle w:val="ListNumber"/>
      </w:pPr>
      <w:r>
        <w:rPr>
          <w:b/>
        </w:rPr>
        <w:t>Deployment readiness check</w:t>
      </w:r>
      <w:r>
        <w:t xml:space="preserve">: Since </w:t>
      </w:r>
      <w:r>
        <w:rPr>
          <w:rFonts w:ascii="Consolas" w:hAnsi="Consolas"/>
        </w:rPr>
        <w:t>deployment_allowed</w:t>
      </w:r>
      <w:r>
        <w:t xml:space="preserve"> is currently false, confirm inference pipeline stability and monitoring requirements before production rollout.</w:t>
      </w:r>
    </w:p>
    <w:p>
      <w:r>
        <w:t>The current model is a strong starting point with room for refinement through outlier handling and targeted feature optimization. Addressing the MAPE discrepancy will likely yield the most practical improvement.</w:t>
      </w:r>
    </w:p>
    <w:p>
      <w:pPr>
        <w:pStyle w:val="Heading1"/>
      </w:pPr>
      <w:r>
        <w:rPr>
          <w:rFonts w:ascii="Calibri" w:hAnsi="Calibri"/>
          <w:color w:val="4B46FA"/>
        </w:rPr>
        <w:t>Key Metrics at a Glance</w:t>
      </w:r>
    </w:p>
    <w:tbl>
      <w:tblPr>
        <w:tblStyle w:val="TableGrid"/>
        <w:tblW w:type="auto" w:w="0"/>
        <w:tblLook w:firstColumn="1" w:firstRow="1" w:lastColumn="0" w:lastRow="0" w:noHBand="0" w:noVBand="1" w:val="04A0"/>
      </w:tblPr>
      <w:tblGrid>
        <w:gridCol w:w="4320"/>
        <w:gridCol w:w="4320"/>
      </w:tblGrid>
      <w:tr>
        <w:tc>
          <w:tcPr>
            <w:tcW w:type="dxa" w:w="4320"/>
            <w:shd w:val="clear" w:color="auto" w:fill="4B46FA"/>
          </w:tcPr>
          <w:p>
            <w:r>
              <w:rPr>
                <w:b/>
                <w:color w:val="FBFBFD"/>
              </w:rPr>
              <w:t>Metric</w:t>
            </w:r>
          </w:p>
        </w:tc>
        <w:tc>
          <w:tcPr>
            <w:tcW w:type="dxa" w:w="4320"/>
            <w:shd w:val="clear" w:color="auto" w:fill="4B46FA"/>
          </w:tcPr>
          <w:p>
            <w:r>
              <w:rPr>
                <w:b/>
                <w:color w:val="FBFBFD"/>
              </w:rPr>
              <w:t>Value</w:t>
            </w:r>
          </w:p>
        </w:tc>
      </w:tr>
      <w:tr>
        <w:tc>
          <w:tcPr>
            <w:tcW w:type="dxa" w:w="4320"/>
          </w:tcPr>
          <w:p>
            <w:r>
              <w:t>Best model</w:t>
            </w:r>
          </w:p>
        </w:tc>
        <w:tc>
          <w:tcPr>
            <w:tcW w:type="dxa" w:w="4320"/>
          </w:tcPr>
          <w:p>
            <w:r>
              <w:t>LightGBM</w:t>
            </w:r>
          </w:p>
        </w:tc>
      </w:tr>
      <w:tr>
        <w:tc>
          <w:tcPr>
            <w:tcW w:type="dxa" w:w="4320"/>
          </w:tcPr>
          <w:p>
            <w:r>
              <w:t>Selection metric</w:t>
            </w:r>
          </w:p>
        </w:tc>
        <w:tc>
          <w:tcPr>
            <w:tcW w:type="dxa" w:w="4320"/>
          </w:tcPr>
          <w:p>
            <w:r>
              <w:t>r2</w:t>
            </w:r>
          </w:p>
        </w:tc>
      </w:tr>
      <w:tr>
        <w:tc>
          <w:tcPr>
            <w:tcW w:type="dxa" w:w="4320"/>
          </w:tcPr>
          <w:p>
            <w:r>
              <w:t>Cross-validated score</w:t>
            </w:r>
          </w:p>
        </w:tc>
        <w:tc>
          <w:tcPr>
            <w:tcW w:type="dxa" w:w="4320"/>
          </w:tcPr>
          <w:p>
            <w:r>
              <w:t>0.8551</w:t>
            </w:r>
          </w:p>
        </w:tc>
      </w:tr>
      <w:tr>
        <w:tc>
          <w:tcPr>
            <w:tcW w:type="dxa" w:w="4320"/>
          </w:tcPr>
          <w:p>
            <w:r>
              <w:t>rmse</w:t>
            </w:r>
          </w:p>
        </w:tc>
        <w:tc>
          <w:tcPr>
            <w:tcW w:type="dxa" w:w="4320"/>
          </w:tcPr>
          <w:p>
            <w:r>
              <w:t>4.5995</w:t>
            </w:r>
          </w:p>
        </w:tc>
      </w:tr>
      <w:tr>
        <w:tc>
          <w:tcPr>
            <w:tcW w:type="dxa" w:w="4320"/>
          </w:tcPr>
          <w:p>
            <w:r>
              <w:t>mae</w:t>
            </w:r>
          </w:p>
        </w:tc>
        <w:tc>
          <w:tcPr>
            <w:tcW w:type="dxa" w:w="4320"/>
          </w:tcPr>
          <w:p>
            <w:r>
              <w:t>1.5678</w:t>
            </w:r>
          </w:p>
        </w:tc>
      </w:tr>
      <w:tr>
        <w:tc>
          <w:tcPr>
            <w:tcW w:type="dxa" w:w="4320"/>
          </w:tcPr>
          <w:p>
            <w:r>
              <w:t>median_ae</w:t>
            </w:r>
          </w:p>
        </w:tc>
        <w:tc>
          <w:tcPr>
            <w:tcW w:type="dxa" w:w="4320"/>
          </w:tcPr>
          <w:p>
            <w:r>
              <w:t>0.6777</w:t>
            </w:r>
          </w:p>
        </w:tc>
      </w:tr>
      <w:tr>
        <w:tc>
          <w:tcPr>
            <w:tcW w:type="dxa" w:w="4320"/>
          </w:tcPr>
          <w:p>
            <w:r>
              <w:t>mape</w:t>
            </w:r>
          </w:p>
        </w:tc>
        <w:tc>
          <w:tcPr>
            <w:tcW w:type="dxa" w:w="4320"/>
          </w:tcPr>
          <w:p>
            <w:r>
              <w:t>116.0857</w:t>
            </w:r>
          </w:p>
        </w:tc>
      </w:tr>
      <w:tr>
        <w:tc>
          <w:tcPr>
            <w:tcW w:type="dxa" w:w="4320"/>
          </w:tcPr>
          <w:p>
            <w:r>
              <w:t>r2</w:t>
            </w:r>
          </w:p>
        </w:tc>
        <w:tc>
          <w:tcPr>
            <w:tcW w:type="dxa" w:w="4320"/>
          </w:tcPr>
          <w:p>
            <w:r>
              <w:t>0.8164</w:t>
            </w:r>
          </w:p>
        </w:tc>
      </w:tr>
      <w:tr>
        <w:tc>
          <w:tcPr>
            <w:tcW w:type="dxa" w:w="4320"/>
          </w:tcPr>
          <w:p>
            <w:r>
              <w:t>adj_r2</w:t>
            </w:r>
          </w:p>
        </w:tc>
        <w:tc>
          <w:tcPr>
            <w:tcW w:type="dxa" w:w="4320"/>
          </w:tcPr>
          <w:p>
            <w:r>
              <w:t>0.8160</w:t>
            </w:r>
          </w:p>
        </w:tc>
      </w:tr>
      <w:tr>
        <w:tc>
          <w:tcPr>
            <w:tcW w:type="dxa" w:w="4320"/>
          </w:tcPr>
          <w:p>
            <w:r>
              <w:t>explained_variance</w:t>
            </w:r>
          </w:p>
        </w:tc>
        <w:tc>
          <w:tcPr>
            <w:tcW w:type="dxa" w:w="4320"/>
          </w:tcPr>
          <w:p>
            <w:r>
              <w:t>0.8189</w:t>
            </w:r>
          </w:p>
        </w:tc>
      </w:tr>
      <w:tr>
        <w:tc>
          <w:tcPr>
            <w:tcW w:type="dxa" w:w="4320"/>
          </w:tcPr>
          <w:p>
            <w:r>
              <w:t>mean_residual</w:t>
            </w:r>
          </w:p>
        </w:tc>
        <w:tc>
          <w:tcPr>
            <w:tcW w:type="dxa" w:w="4320"/>
          </w:tcPr>
          <w:p>
            <w:r>
              <w:t>0.5393</w:t>
            </w:r>
          </w:p>
        </w:tc>
      </w:tr>
      <w:tr>
        <w:tc>
          <w:tcPr>
            <w:tcW w:type="dxa" w:w="4320"/>
          </w:tcPr>
          <w:p>
            <w:r>
              <w:t>Deployment allowed</w:t>
            </w:r>
          </w:p>
        </w:tc>
        <w:tc>
          <w:tcPr>
            <w:tcW w:type="dxa" w:w="4320"/>
          </w:tcPr>
          <w:p>
            <w:r>
              <w:t>False</w:t>
            </w:r>
          </w:p>
        </w:tc>
      </w:tr>
    </w:tbl>
    <w:p/>
    <w:p>
      <w:pPr>
        <w:pStyle w:val="Heading1"/>
      </w:pPr>
      <w:r>
        <w:rPr>
          <w:rFonts w:ascii="Calibri" w:hAnsi="Calibri"/>
          <w:color w:val="4B46FA"/>
        </w:rPr>
        <w:t>Data &amp; Methodology</w:t>
      </w:r>
    </w:p>
    <w:p>
      <w:r>
        <w:t>The pipeline ingested 20000 records across 18 columns from https://cf-courses-data.s3.us.cloud-object-storage.appdomain.cloud/IBMDeveloperSkillsNetwork-ML0101EN-SkillsNetwork/labs/Module%203/data/yellow_tripdata_2019-06.csv.</w:t>
      </w:r>
    </w:p>
    <w:p>
      <w:r>
        <w:t>Target: fare_amount  |  Task: regression  |  Split strategy: auto. Numeric features receive robust scaling, categoricals are encoded, and the preprocessor is fitted on the training split only.</w:t>
      </w:r>
    </w:p>
    <w:p>
      <w:pPr>
        <w:pStyle w:val="ListBullet"/>
      </w:pPr>
      <w:r>
        <w:t>Best model by cross-validated r2: LightGBM.</w:t>
      </w:r>
    </w:p>
    <w:p>
      <w:pPr>
        <w:pStyle w:val="ListBullet"/>
      </w:pPr>
      <w:r>
        <w:t>Hyper-parameter search improved LightGBM to CV 0.8551.</w:t>
      </w:r>
    </w:p>
    <w:p>
      <w:pPr>
        <w:pStyle w:val="Heading1"/>
      </w:pPr>
      <w:r>
        <w:rPr>
          <w:rFonts w:ascii="Calibri" w:hAnsi="Calibri"/>
          <w:color w:val="4B46FA"/>
        </w:rPr>
        <w:t>Exploratory Data Analysis</w:t>
      </w:r>
    </w:p>
    <w:p>
      <w:pPr>
        <w:pStyle w:val="Heading2"/>
      </w:pPr>
      <w:r>
        <w:rPr>
          <w:rFonts w:ascii="Calibri" w:hAnsi="Calibri"/>
          <w:color w:val="4B46FA"/>
        </w:rPr>
        <w:t>Statistical moments</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shd w:val="clear" w:color="auto" w:fill="4B46FA"/>
          </w:tcPr>
          <w:p>
            <w:r>
              <w:rPr>
                <w:b/>
                <w:color w:val="FBFBFD"/>
              </w:rPr>
              <w:t>feature</w:t>
            </w:r>
          </w:p>
        </w:tc>
        <w:tc>
          <w:tcPr>
            <w:tcW w:type="dxa" w:w="1234"/>
            <w:shd w:val="clear" w:color="auto" w:fill="4B46FA"/>
          </w:tcPr>
          <w:p>
            <w:r>
              <w:rPr>
                <w:b/>
                <w:color w:val="FBFBFD"/>
              </w:rPr>
              <w:t>count</w:t>
            </w:r>
          </w:p>
        </w:tc>
        <w:tc>
          <w:tcPr>
            <w:tcW w:type="dxa" w:w="1234"/>
            <w:shd w:val="clear" w:color="auto" w:fill="4B46FA"/>
          </w:tcPr>
          <w:p>
            <w:r>
              <w:rPr>
                <w:b/>
                <w:color w:val="FBFBFD"/>
              </w:rPr>
              <w:t>mean</w:t>
            </w:r>
          </w:p>
        </w:tc>
        <w:tc>
          <w:tcPr>
            <w:tcW w:type="dxa" w:w="1234"/>
            <w:shd w:val="clear" w:color="auto" w:fill="4B46FA"/>
          </w:tcPr>
          <w:p>
            <w:r>
              <w:rPr>
                <w:b/>
                <w:color w:val="FBFBFD"/>
              </w:rPr>
              <w:t>std</w:t>
            </w:r>
          </w:p>
        </w:tc>
        <w:tc>
          <w:tcPr>
            <w:tcW w:type="dxa" w:w="1234"/>
            <w:shd w:val="clear" w:color="auto" w:fill="4B46FA"/>
          </w:tcPr>
          <w:p>
            <w:r>
              <w:rPr>
                <w:b/>
                <w:color w:val="FBFBFD"/>
              </w:rPr>
              <w:t>min</w:t>
            </w:r>
          </w:p>
        </w:tc>
        <w:tc>
          <w:tcPr>
            <w:tcW w:type="dxa" w:w="1234"/>
            <w:shd w:val="clear" w:color="auto" w:fill="4B46FA"/>
          </w:tcPr>
          <w:p>
            <w:r>
              <w:rPr>
                <w:b/>
                <w:color w:val="FBFBFD"/>
              </w:rPr>
              <w:t>25%</w:t>
            </w:r>
          </w:p>
        </w:tc>
        <w:tc>
          <w:tcPr>
            <w:tcW w:type="dxa" w:w="1234"/>
            <w:shd w:val="clear" w:color="auto" w:fill="4B46FA"/>
          </w:tcPr>
          <w:p>
            <w:r>
              <w:rPr>
                <w:b/>
                <w:color w:val="FBFBFD"/>
              </w:rPr>
              <w:t>50%</w:t>
            </w:r>
          </w:p>
        </w:tc>
      </w:tr>
      <w:tr>
        <w:tc>
          <w:tcPr>
            <w:tcW w:type="dxa" w:w="1234"/>
          </w:tcPr>
          <w:p>
            <w:r>
              <w:t>VendorID</w:t>
            </w:r>
          </w:p>
        </w:tc>
        <w:tc>
          <w:tcPr>
            <w:tcW w:type="dxa" w:w="1234"/>
          </w:tcPr>
          <w:p>
            <w:r>
              <w:t>20000.0</w:t>
            </w:r>
          </w:p>
        </w:tc>
        <w:tc>
          <w:tcPr>
            <w:tcW w:type="dxa" w:w="1234"/>
          </w:tcPr>
          <w:p>
            <w:r>
              <w:t>1.6492</w:t>
            </w:r>
          </w:p>
        </w:tc>
        <w:tc>
          <w:tcPr>
            <w:tcW w:type="dxa" w:w="1234"/>
          </w:tcPr>
          <w:p>
            <w:r>
              <w:t>0.4982</w:t>
            </w:r>
          </w:p>
        </w:tc>
        <w:tc>
          <w:tcPr>
            <w:tcW w:type="dxa" w:w="1234"/>
          </w:tcPr>
          <w:p>
            <w:r>
              <w:t>1.0</w:t>
            </w:r>
          </w:p>
        </w:tc>
        <w:tc>
          <w:tcPr>
            <w:tcW w:type="dxa" w:w="1234"/>
          </w:tcPr>
          <w:p>
            <w:r>
              <w:t>1.0</w:t>
            </w:r>
          </w:p>
        </w:tc>
        <w:tc>
          <w:tcPr>
            <w:tcW w:type="dxa" w:w="1234"/>
          </w:tcPr>
          <w:p>
            <w:r>
              <w:t>2.0</w:t>
            </w:r>
          </w:p>
        </w:tc>
      </w:tr>
      <w:tr>
        <w:tc>
          <w:tcPr>
            <w:tcW w:type="dxa" w:w="1234"/>
          </w:tcPr>
          <w:p>
            <w:r>
              <w:t>passenger_count</w:t>
            </w:r>
          </w:p>
        </w:tc>
        <w:tc>
          <w:tcPr>
            <w:tcW w:type="dxa" w:w="1234"/>
          </w:tcPr>
          <w:p>
            <w:r>
              <w:t>20000.0</w:t>
            </w:r>
          </w:p>
        </w:tc>
        <w:tc>
          <w:tcPr>
            <w:tcW w:type="dxa" w:w="1234"/>
          </w:tcPr>
          <w:p>
            <w:r>
              <w:t>1.6089</w:t>
            </w:r>
          </w:p>
        </w:tc>
        <w:tc>
          <w:tcPr>
            <w:tcW w:type="dxa" w:w="1234"/>
          </w:tcPr>
          <w:p>
            <w:r>
              <w:t>1.2105</w:t>
            </w:r>
          </w:p>
        </w:tc>
        <w:tc>
          <w:tcPr>
            <w:tcW w:type="dxa" w:w="1234"/>
          </w:tcPr>
          <w:p>
            <w:r>
              <w:t>0.0</w:t>
            </w:r>
          </w:p>
        </w:tc>
        <w:tc>
          <w:tcPr>
            <w:tcW w:type="dxa" w:w="1234"/>
          </w:tcPr>
          <w:p>
            <w:r>
              <w:t>1.0</w:t>
            </w:r>
          </w:p>
        </w:tc>
        <w:tc>
          <w:tcPr>
            <w:tcW w:type="dxa" w:w="1234"/>
          </w:tcPr>
          <w:p>
            <w:r>
              <w:t>1.0</w:t>
            </w:r>
          </w:p>
        </w:tc>
      </w:tr>
      <w:tr>
        <w:tc>
          <w:tcPr>
            <w:tcW w:type="dxa" w:w="1234"/>
          </w:tcPr>
          <w:p>
            <w:r>
              <w:t>trip_distance</w:t>
            </w:r>
          </w:p>
        </w:tc>
        <w:tc>
          <w:tcPr>
            <w:tcW w:type="dxa" w:w="1234"/>
          </w:tcPr>
          <w:p>
            <w:r>
              <w:t>20000.0</w:t>
            </w:r>
          </w:p>
        </w:tc>
        <w:tc>
          <w:tcPr>
            <w:tcW w:type="dxa" w:w="1234"/>
          </w:tcPr>
          <w:p>
            <w:r>
              <w:t>3.3002</w:t>
            </w:r>
          </w:p>
        </w:tc>
        <w:tc>
          <w:tcPr>
            <w:tcW w:type="dxa" w:w="1234"/>
          </w:tcPr>
          <w:p>
            <w:r>
              <w:t>3.5671</w:t>
            </w:r>
          </w:p>
        </w:tc>
        <w:tc>
          <w:tcPr>
            <w:tcW w:type="dxa" w:w="1234"/>
          </w:tcPr>
          <w:p>
            <w:r>
              <w:t>0.0</w:t>
            </w:r>
          </w:p>
        </w:tc>
        <w:tc>
          <w:tcPr>
            <w:tcW w:type="dxa" w:w="1234"/>
          </w:tcPr>
          <w:p>
            <w:r>
              <w:t>1.2</w:t>
            </w:r>
          </w:p>
        </w:tc>
        <w:tc>
          <w:tcPr>
            <w:tcW w:type="dxa" w:w="1234"/>
          </w:tcPr>
          <w:p>
            <w:r>
              <w:t>2.1</w:t>
            </w:r>
          </w:p>
        </w:tc>
      </w:tr>
      <w:tr>
        <w:tc>
          <w:tcPr>
            <w:tcW w:type="dxa" w:w="1234"/>
          </w:tcPr>
          <w:p>
            <w:r>
              <w:t>RatecodeID</w:t>
            </w:r>
          </w:p>
        </w:tc>
        <w:tc>
          <w:tcPr>
            <w:tcW w:type="dxa" w:w="1234"/>
          </w:tcPr>
          <w:p>
            <w:r>
              <w:t>20000.0</w:t>
            </w:r>
          </w:p>
        </w:tc>
        <w:tc>
          <w:tcPr>
            <w:tcW w:type="dxa" w:w="1234"/>
          </w:tcPr>
          <w:p>
            <w:r>
              <w:t>1.045</w:t>
            </w:r>
          </w:p>
        </w:tc>
        <w:tc>
          <w:tcPr>
            <w:tcW w:type="dxa" w:w="1234"/>
          </w:tcPr>
          <w:p>
            <w:r>
              <w:t>0.3618</w:t>
            </w:r>
          </w:p>
        </w:tc>
        <w:tc>
          <w:tcPr>
            <w:tcW w:type="dxa" w:w="1234"/>
          </w:tcPr>
          <w:p>
            <w:r>
              <w:t>1.0</w:t>
            </w:r>
          </w:p>
        </w:tc>
        <w:tc>
          <w:tcPr>
            <w:tcW w:type="dxa" w:w="1234"/>
          </w:tcPr>
          <w:p>
            <w:r>
              <w:t>1.0</w:t>
            </w:r>
          </w:p>
        </w:tc>
        <w:tc>
          <w:tcPr>
            <w:tcW w:type="dxa" w:w="1234"/>
          </w:tcPr>
          <w:p>
            <w:r>
              <w:t>1.0</w:t>
            </w:r>
          </w:p>
        </w:tc>
      </w:tr>
      <w:tr>
        <w:tc>
          <w:tcPr>
            <w:tcW w:type="dxa" w:w="1234"/>
          </w:tcPr>
          <w:p>
            <w:r>
              <w:t>PULocationID</w:t>
            </w:r>
          </w:p>
        </w:tc>
        <w:tc>
          <w:tcPr>
            <w:tcW w:type="dxa" w:w="1234"/>
          </w:tcPr>
          <w:p>
            <w:r>
              <w:t>20000.0</w:t>
            </w:r>
          </w:p>
        </w:tc>
        <w:tc>
          <w:tcPr>
            <w:tcW w:type="dxa" w:w="1234"/>
          </w:tcPr>
          <w:p>
            <w:r>
              <w:t>150.4261</w:t>
            </w:r>
          </w:p>
        </w:tc>
        <w:tc>
          <w:tcPr>
            <w:tcW w:type="dxa" w:w="1234"/>
          </w:tcPr>
          <w:p>
            <w:r>
              <w:t>67.9112</w:t>
            </w:r>
          </w:p>
        </w:tc>
        <w:tc>
          <w:tcPr>
            <w:tcW w:type="dxa" w:w="1234"/>
          </w:tcPr>
          <w:p>
            <w:r>
              <w:t>3.0</w:t>
            </w:r>
          </w:p>
        </w:tc>
        <w:tc>
          <w:tcPr>
            <w:tcW w:type="dxa" w:w="1234"/>
          </w:tcPr>
          <w:p>
            <w:r>
              <w:t>90.0</w:t>
            </w:r>
          </w:p>
        </w:tc>
        <w:tc>
          <w:tcPr>
            <w:tcW w:type="dxa" w:w="1234"/>
          </w:tcPr>
          <w:p>
            <w:r>
              <w:t>148.0</w:t>
            </w:r>
          </w:p>
        </w:tc>
      </w:tr>
      <w:tr>
        <w:tc>
          <w:tcPr>
            <w:tcW w:type="dxa" w:w="1234"/>
          </w:tcPr>
          <w:p>
            <w:r>
              <w:t>DOLocationID</w:t>
            </w:r>
          </w:p>
        </w:tc>
        <w:tc>
          <w:tcPr>
            <w:tcW w:type="dxa" w:w="1234"/>
          </w:tcPr>
          <w:p>
            <w:r>
              <w:t>20000.0</w:t>
            </w:r>
          </w:p>
        </w:tc>
        <w:tc>
          <w:tcPr>
            <w:tcW w:type="dxa" w:w="1234"/>
          </w:tcPr>
          <w:p>
            <w:r>
              <w:t>148.5836</w:t>
            </w:r>
          </w:p>
        </w:tc>
        <w:tc>
          <w:tcPr>
            <w:tcW w:type="dxa" w:w="1234"/>
          </w:tcPr>
          <w:p>
            <w:r>
              <w:t>73.8786</w:t>
            </w:r>
          </w:p>
        </w:tc>
        <w:tc>
          <w:tcPr>
            <w:tcW w:type="dxa" w:w="1234"/>
          </w:tcPr>
          <w:p>
            <w:r>
              <w:t>3.0</w:t>
            </w:r>
          </w:p>
        </w:tc>
        <w:tc>
          <w:tcPr>
            <w:tcW w:type="dxa" w:w="1234"/>
          </w:tcPr>
          <w:p>
            <w:r>
              <w:t>80.0</w:t>
            </w:r>
          </w:p>
        </w:tc>
        <w:tc>
          <w:tcPr>
            <w:tcW w:type="dxa" w:w="1234"/>
          </w:tcPr>
          <w:p>
            <w:r>
              <w:t>148.0</w:t>
            </w:r>
          </w:p>
        </w:tc>
      </w:tr>
      <w:tr>
        <w:tc>
          <w:tcPr>
            <w:tcW w:type="dxa" w:w="1234"/>
          </w:tcPr>
          <w:p>
            <w:r>
              <w:t>payment_type</w:t>
            </w:r>
          </w:p>
        </w:tc>
        <w:tc>
          <w:tcPr>
            <w:tcW w:type="dxa" w:w="1234"/>
          </w:tcPr>
          <w:p>
            <w:r>
              <w:t>20000.0</w:t>
            </w:r>
          </w:p>
        </w:tc>
        <w:tc>
          <w:tcPr>
            <w:tcW w:type="dxa" w:w="1234"/>
          </w:tcPr>
          <w:p>
            <w:r>
              <w:t>1.2734</w:t>
            </w:r>
          </w:p>
        </w:tc>
        <w:tc>
          <w:tcPr>
            <w:tcW w:type="dxa" w:w="1234"/>
          </w:tcPr>
          <w:p>
            <w:r>
              <w:t>0.4803</w:t>
            </w:r>
          </w:p>
        </w:tc>
        <w:tc>
          <w:tcPr>
            <w:tcW w:type="dxa" w:w="1234"/>
          </w:tcPr>
          <w:p>
            <w:r>
              <w:t>1.0</w:t>
            </w:r>
          </w:p>
        </w:tc>
        <w:tc>
          <w:tcPr>
            <w:tcW w:type="dxa" w:w="1234"/>
          </w:tcPr>
          <w:p>
            <w:r>
              <w:t>1.0</w:t>
            </w:r>
          </w:p>
        </w:tc>
        <w:tc>
          <w:tcPr>
            <w:tcW w:type="dxa" w:w="1234"/>
          </w:tcPr>
          <w:p>
            <w:r>
              <w:t>1.0</w:t>
            </w:r>
          </w:p>
        </w:tc>
      </w:tr>
      <w:tr>
        <w:tc>
          <w:tcPr>
            <w:tcW w:type="dxa" w:w="1234"/>
          </w:tcPr>
          <w:p>
            <w:r>
              <w:t>fare_amount</w:t>
            </w:r>
          </w:p>
        </w:tc>
        <w:tc>
          <w:tcPr>
            <w:tcW w:type="dxa" w:w="1234"/>
          </w:tcPr>
          <w:p>
            <w:r>
              <w:t>20000.0</w:t>
            </w:r>
          </w:p>
        </w:tc>
        <w:tc>
          <w:tcPr>
            <w:tcW w:type="dxa" w:w="1234"/>
          </w:tcPr>
          <w:p>
            <w:r>
              <w:t>13.3602</w:t>
            </w:r>
          </w:p>
        </w:tc>
        <w:tc>
          <w:tcPr>
            <w:tcW w:type="dxa" w:w="1234"/>
          </w:tcPr>
          <w:p>
            <w:r>
              <w:t>11.4462</w:t>
            </w:r>
          </w:p>
        </w:tc>
        <w:tc>
          <w:tcPr>
            <w:tcW w:type="dxa" w:w="1234"/>
          </w:tcPr>
          <w:p>
            <w:r>
              <w:t>-52.0</w:t>
            </w:r>
          </w:p>
        </w:tc>
        <w:tc>
          <w:tcPr>
            <w:tcW w:type="dxa" w:w="1234"/>
          </w:tcPr>
          <w:p>
            <w:r>
              <w:t>6.5</w:t>
            </w:r>
          </w:p>
        </w:tc>
        <w:tc>
          <w:tcPr>
            <w:tcW w:type="dxa" w:w="1234"/>
          </w:tcPr>
          <w:p>
            <w:r>
              <w:t>10.0</w:t>
            </w:r>
          </w:p>
        </w:tc>
      </w:tr>
      <w:tr>
        <w:tc>
          <w:tcPr>
            <w:tcW w:type="dxa" w:w="1234"/>
          </w:tcPr>
          <w:p>
            <w:r>
              <w:t>extra</w:t>
            </w:r>
          </w:p>
        </w:tc>
        <w:tc>
          <w:tcPr>
            <w:tcW w:type="dxa" w:w="1234"/>
          </w:tcPr>
          <w:p>
            <w:r>
              <w:t>20000.0</w:t>
            </w:r>
          </w:p>
        </w:tc>
        <w:tc>
          <w:tcPr>
            <w:tcW w:type="dxa" w:w="1234"/>
          </w:tcPr>
          <w:p>
            <w:r>
              <w:t>1.2934</w:t>
            </w:r>
          </w:p>
        </w:tc>
        <w:tc>
          <w:tcPr>
            <w:tcW w:type="dxa" w:w="1234"/>
          </w:tcPr>
          <w:p>
            <w:r>
              <w:t>1.1768</w:t>
            </w:r>
          </w:p>
        </w:tc>
        <w:tc>
          <w:tcPr>
            <w:tcW w:type="dxa" w:w="1234"/>
          </w:tcPr>
          <w:p>
            <w:r>
              <w:t>-0.5</w:t>
            </w:r>
          </w:p>
        </w:tc>
        <w:tc>
          <w:tcPr>
            <w:tcW w:type="dxa" w:w="1234"/>
          </w:tcPr>
          <w:p>
            <w:r>
              <w:t>0.5</w:t>
            </w:r>
          </w:p>
        </w:tc>
        <w:tc>
          <w:tcPr>
            <w:tcW w:type="dxa" w:w="1234"/>
          </w:tcPr>
          <w:p>
            <w:r>
              <w:t>0.5</w:t>
            </w:r>
          </w:p>
        </w:tc>
      </w:tr>
      <w:tr>
        <w:tc>
          <w:tcPr>
            <w:tcW w:type="dxa" w:w="1234"/>
          </w:tcPr>
          <w:p>
            <w:r>
              <w:t>mta_tax</w:t>
            </w:r>
          </w:p>
        </w:tc>
        <w:tc>
          <w:tcPr>
            <w:tcW w:type="dxa" w:w="1234"/>
          </w:tcPr>
          <w:p>
            <w:r>
              <w:t>20000.0</w:t>
            </w:r>
          </w:p>
        </w:tc>
        <w:tc>
          <w:tcPr>
            <w:tcW w:type="dxa" w:w="1234"/>
          </w:tcPr>
          <w:p>
            <w:r>
              <w:t>0.495</w:t>
            </w:r>
          </w:p>
        </w:tc>
        <w:tc>
          <w:tcPr>
            <w:tcW w:type="dxa" w:w="1234"/>
          </w:tcPr>
          <w:p>
            <w:r>
              <w:t>0.0606</w:t>
            </w:r>
          </w:p>
        </w:tc>
        <w:tc>
          <w:tcPr>
            <w:tcW w:type="dxa" w:w="1234"/>
          </w:tcPr>
          <w:p>
            <w:r>
              <w:t>-0.5</w:t>
            </w:r>
          </w:p>
        </w:tc>
        <w:tc>
          <w:tcPr>
            <w:tcW w:type="dxa" w:w="1234"/>
          </w:tcPr>
          <w:p>
            <w:r>
              <w:t>0.5</w:t>
            </w:r>
          </w:p>
        </w:tc>
        <w:tc>
          <w:tcPr>
            <w:tcW w:type="dxa" w:w="1234"/>
          </w:tcPr>
          <w:p>
            <w:r>
              <w:t>0.5</w:t>
            </w:r>
          </w:p>
        </w:tc>
      </w:tr>
      <w:tr>
        <w:tc>
          <w:tcPr>
            <w:tcW w:type="dxa" w:w="1234"/>
          </w:tcPr>
          <w:p>
            <w:r>
              <w:t>tip_amount</w:t>
            </w:r>
          </w:p>
        </w:tc>
        <w:tc>
          <w:tcPr>
            <w:tcW w:type="dxa" w:w="1234"/>
          </w:tcPr>
          <w:p>
            <w:r>
              <w:t>20000.0</w:t>
            </w:r>
          </w:p>
        </w:tc>
        <w:tc>
          <w:tcPr>
            <w:tcW w:type="dxa" w:w="1234"/>
          </w:tcPr>
          <w:p>
            <w:r>
              <w:t>2.2178</w:t>
            </w:r>
          </w:p>
        </w:tc>
        <w:tc>
          <w:tcPr>
            <w:tcW w:type="dxa" w:w="1234"/>
          </w:tcPr>
          <w:p>
            <w:r>
              <w:t>2.6169</w:t>
            </w:r>
          </w:p>
        </w:tc>
        <w:tc>
          <w:tcPr>
            <w:tcW w:type="dxa" w:w="1234"/>
          </w:tcPr>
          <w:p>
            <w:r>
              <w:t>0.0</w:t>
            </w:r>
          </w:p>
        </w:tc>
        <w:tc>
          <w:tcPr>
            <w:tcW w:type="dxa" w:w="1234"/>
          </w:tcPr>
          <w:p>
            <w:r>
              <w:t>0.0</w:t>
            </w:r>
          </w:p>
        </w:tc>
        <w:tc>
          <w:tcPr>
            <w:tcW w:type="dxa" w:w="1234"/>
          </w:tcPr>
          <w:p>
            <w:r>
              <w:t>2.0</w:t>
            </w:r>
          </w:p>
        </w:tc>
      </w:tr>
      <w:tr>
        <w:tc>
          <w:tcPr>
            <w:tcW w:type="dxa" w:w="1234"/>
          </w:tcPr>
          <w:p>
            <w:r>
              <w:t>tolls_amount</w:t>
            </w:r>
          </w:p>
        </w:tc>
        <w:tc>
          <w:tcPr>
            <w:tcW w:type="dxa" w:w="1234"/>
          </w:tcPr>
          <w:p>
            <w:r>
              <w:t>20000.0</w:t>
            </w:r>
          </w:p>
        </w:tc>
        <w:tc>
          <w:tcPr>
            <w:tcW w:type="dxa" w:w="1234"/>
          </w:tcPr>
          <w:p>
            <w:r>
              <w:t>0.2191</w:t>
            </w:r>
          </w:p>
        </w:tc>
        <w:tc>
          <w:tcPr>
            <w:tcW w:type="dxa" w:w="1234"/>
          </w:tcPr>
          <w:p>
            <w:r>
              <w:t>1.2253</w:t>
            </w:r>
          </w:p>
        </w:tc>
        <w:tc>
          <w:tcPr>
            <w:tcW w:type="dxa" w:w="1234"/>
          </w:tcPr>
          <w:p>
            <w:r>
              <w:t>0.0</w:t>
            </w:r>
          </w:p>
        </w:tc>
        <w:tc>
          <w:tcPr>
            <w:tcW w:type="dxa" w:w="1234"/>
          </w:tcPr>
          <w:p>
            <w:r>
              <w:t>0.0</w:t>
            </w:r>
          </w:p>
        </w:tc>
        <w:tc>
          <w:tcPr>
            <w:tcW w:type="dxa" w:w="1234"/>
          </w:tcPr>
          <w:p>
            <w:r>
              <w:t>0.0</w:t>
            </w:r>
          </w:p>
        </w:tc>
      </w:tr>
    </w:tbl>
    <w:p/>
    <w:p>
      <w:pPr>
        <w:pStyle w:val="Heading1"/>
      </w:pPr>
      <w:r>
        <w:rPr>
          <w:rFonts w:ascii="Calibri" w:hAnsi="Calibri"/>
          <w:color w:val="4B46FA"/>
        </w:rPr>
        <w:t>Model Performance</w:t>
      </w:r>
    </w:p>
    <w:p>
      <w:pPr>
        <w:pStyle w:val="Heading2"/>
      </w:pPr>
      <w:r>
        <w:rPr>
          <w:rFonts w:ascii="Calibri" w:hAnsi="Calibri"/>
          <w:color w:val="4B46FA"/>
        </w:rPr>
        <w:t>Model leaderboard</w:t>
      </w:r>
    </w:p>
    <w:tbl>
      <w:tblPr>
        <w:tblStyle w:val="TableGrid"/>
        <w:tblW w:type="auto" w:w="0"/>
        <w:tblLook w:firstColumn="1" w:firstRow="1" w:lastColumn="0" w:lastRow="0" w:noHBand="0" w:noVBand="1" w:val="04A0"/>
      </w:tblPr>
      <w:tblGrid>
        <w:gridCol w:w="720"/>
        <w:gridCol w:w="720"/>
        <w:gridCol w:w="720"/>
        <w:gridCol w:w="720"/>
        <w:gridCol w:w="720"/>
        <w:gridCol w:w="720"/>
        <w:gridCol w:w="720"/>
        <w:gridCol w:w="720"/>
        <w:gridCol w:w="720"/>
        <w:gridCol w:w="720"/>
        <w:gridCol w:w="720"/>
        <w:gridCol w:w="720"/>
      </w:tblGrid>
      <w:tr>
        <w:tc>
          <w:tcPr>
            <w:tcW w:type="dxa" w:w="720"/>
            <w:shd w:val="clear" w:color="auto" w:fill="4B46FA"/>
          </w:tcPr>
          <w:p>
            <w:r>
              <w:rPr>
                <w:b/>
                <w:color w:val="FBFBFD"/>
              </w:rPr>
              <w:t>model</w:t>
            </w:r>
          </w:p>
        </w:tc>
        <w:tc>
          <w:tcPr>
            <w:tcW w:type="dxa" w:w="720"/>
            <w:shd w:val="clear" w:color="auto" w:fill="4B46FA"/>
          </w:tcPr>
          <w:p>
            <w:r>
              <w:rPr>
                <w:b/>
                <w:color w:val="FBFBFD"/>
              </w:rPr>
              <w:t>cv_score_mean</w:t>
            </w:r>
          </w:p>
        </w:tc>
        <w:tc>
          <w:tcPr>
            <w:tcW w:type="dxa" w:w="720"/>
            <w:shd w:val="clear" w:color="auto" w:fill="4B46FA"/>
          </w:tcPr>
          <w:p>
            <w:r>
              <w:rPr>
                <w:b/>
                <w:color w:val="FBFBFD"/>
              </w:rPr>
              <w:t>cv_score_std</w:t>
            </w:r>
          </w:p>
        </w:tc>
        <w:tc>
          <w:tcPr>
            <w:tcW w:type="dxa" w:w="720"/>
            <w:shd w:val="clear" w:color="auto" w:fill="4B46FA"/>
          </w:tcPr>
          <w:p>
            <w:r>
              <w:rPr>
                <w:b/>
                <w:color w:val="FBFBFD"/>
              </w:rPr>
              <w:t>fit_seconds</w:t>
            </w:r>
          </w:p>
        </w:tc>
        <w:tc>
          <w:tcPr>
            <w:tcW w:type="dxa" w:w="720"/>
            <w:shd w:val="clear" w:color="auto" w:fill="4B46FA"/>
          </w:tcPr>
          <w:p>
            <w:r>
              <w:rPr>
                <w:b/>
                <w:color w:val="FBFBFD"/>
              </w:rPr>
              <w:t>rmse</w:t>
            </w:r>
          </w:p>
        </w:tc>
        <w:tc>
          <w:tcPr>
            <w:tcW w:type="dxa" w:w="720"/>
            <w:shd w:val="clear" w:color="auto" w:fill="4B46FA"/>
          </w:tcPr>
          <w:p>
            <w:r>
              <w:rPr>
                <w:b/>
                <w:color w:val="FBFBFD"/>
              </w:rPr>
              <w:t>mae</w:t>
            </w:r>
          </w:p>
        </w:tc>
        <w:tc>
          <w:tcPr>
            <w:tcW w:type="dxa" w:w="720"/>
            <w:shd w:val="clear" w:color="auto" w:fill="4B46FA"/>
          </w:tcPr>
          <w:p>
            <w:r>
              <w:rPr>
                <w:b/>
                <w:color w:val="FBFBFD"/>
              </w:rPr>
              <w:t>median_ae</w:t>
            </w:r>
          </w:p>
        </w:tc>
        <w:tc>
          <w:tcPr>
            <w:tcW w:type="dxa" w:w="720"/>
            <w:shd w:val="clear" w:color="auto" w:fill="4B46FA"/>
          </w:tcPr>
          <w:p>
            <w:r>
              <w:rPr>
                <w:b/>
                <w:color w:val="FBFBFD"/>
              </w:rPr>
              <w:t>mape</w:t>
            </w:r>
          </w:p>
        </w:tc>
        <w:tc>
          <w:tcPr>
            <w:tcW w:type="dxa" w:w="720"/>
            <w:shd w:val="clear" w:color="auto" w:fill="4B46FA"/>
          </w:tcPr>
          <w:p>
            <w:r>
              <w:rPr>
                <w:b/>
                <w:color w:val="FBFBFD"/>
              </w:rPr>
              <w:t>r2</w:t>
            </w:r>
          </w:p>
        </w:tc>
        <w:tc>
          <w:tcPr>
            <w:tcW w:type="dxa" w:w="720"/>
            <w:shd w:val="clear" w:color="auto" w:fill="4B46FA"/>
          </w:tcPr>
          <w:p>
            <w:r>
              <w:rPr>
                <w:b/>
                <w:color w:val="FBFBFD"/>
              </w:rPr>
              <w:t>adj_r2</w:t>
            </w:r>
          </w:p>
        </w:tc>
        <w:tc>
          <w:tcPr>
            <w:tcW w:type="dxa" w:w="720"/>
            <w:shd w:val="clear" w:color="auto" w:fill="4B46FA"/>
          </w:tcPr>
          <w:p>
            <w:r>
              <w:rPr>
                <w:b/>
                <w:color w:val="FBFBFD"/>
              </w:rPr>
              <w:t>explained_variance</w:t>
            </w:r>
          </w:p>
        </w:tc>
        <w:tc>
          <w:tcPr>
            <w:tcW w:type="dxa" w:w="720"/>
            <w:shd w:val="clear" w:color="auto" w:fill="4B46FA"/>
          </w:tcPr>
          <w:p>
            <w:r>
              <w:rPr>
                <w:b/>
                <w:color w:val="FBFBFD"/>
              </w:rPr>
              <w:t>mean_residual</w:t>
            </w:r>
          </w:p>
        </w:tc>
      </w:tr>
      <w:tr>
        <w:tc>
          <w:tcPr>
            <w:tcW w:type="dxa" w:w="720"/>
          </w:tcPr>
          <w:p>
            <w:r>
              <w:t>LightGBM</w:t>
            </w:r>
          </w:p>
        </w:tc>
        <w:tc>
          <w:tcPr>
            <w:tcW w:type="dxa" w:w="720"/>
          </w:tcPr>
          <w:p>
            <w:r>
              <w:t>0.8538461125926325</w:t>
            </w:r>
          </w:p>
        </w:tc>
        <w:tc>
          <w:tcPr>
            <w:tcW w:type="dxa" w:w="720"/>
          </w:tcPr>
          <w:p>
            <w:r>
              <w:t>0.09617251815602117</w:t>
            </w:r>
          </w:p>
        </w:tc>
        <w:tc>
          <w:tcPr>
            <w:tcW w:type="dxa" w:w="720"/>
          </w:tcPr>
          <w:p>
            <w:r>
              <w:t>1.1</w:t>
            </w:r>
          </w:p>
        </w:tc>
        <w:tc>
          <w:tcPr>
            <w:tcW w:type="dxa" w:w="720"/>
          </w:tcPr>
          <w:p>
            <w:r>
              <w:t>4.5367183824263195</w:t>
            </w:r>
          </w:p>
        </w:tc>
        <w:tc>
          <w:tcPr>
            <w:tcW w:type="dxa" w:w="720"/>
          </w:tcPr>
          <w:p>
            <w:r>
              <w:t>1.5855411348249446</w:t>
            </w:r>
          </w:p>
        </w:tc>
        <w:tc>
          <w:tcPr>
            <w:tcW w:type="dxa" w:w="720"/>
          </w:tcPr>
          <w:p>
            <w:r>
              <w:t>0.7117288468691738</w:t>
            </w:r>
          </w:p>
        </w:tc>
        <w:tc>
          <w:tcPr>
            <w:tcW w:type="dxa" w:w="720"/>
          </w:tcPr>
          <w:p>
            <w:r>
              <w:t>124.98054112117252</w:t>
            </w:r>
          </w:p>
        </w:tc>
        <w:tc>
          <w:tcPr>
            <w:tcW w:type="dxa" w:w="720"/>
          </w:tcPr>
          <w:p>
            <w:r>
              <w:t>0.821384188478286</w:t>
            </w:r>
          </w:p>
        </w:tc>
        <w:tc>
          <w:tcPr>
            <w:tcW w:type="dxa" w:w="720"/>
          </w:tcPr>
          <w:p>
            <w:r>
              <w:t>0.8210338632665595</w:t>
            </w:r>
          </w:p>
        </w:tc>
        <w:tc>
          <w:tcPr>
            <w:tcW w:type="dxa" w:w="720"/>
          </w:tcPr>
          <w:p>
            <w:r>
              <w:t>0.823774932837638</w:t>
            </w:r>
          </w:p>
        </w:tc>
        <w:tc>
          <w:tcPr>
            <w:tcW w:type="dxa" w:w="720"/>
          </w:tcPr>
          <w:p>
            <w:r>
              <w:t>0.5248659997382971</w:t>
            </w:r>
          </w:p>
        </w:tc>
      </w:tr>
      <w:tr>
        <w:tc>
          <w:tcPr>
            <w:tcW w:type="dxa" w:w="720"/>
          </w:tcPr>
          <w:p>
            <w:r>
              <w:t>HistGradientBoosting</w:t>
            </w:r>
          </w:p>
        </w:tc>
        <w:tc>
          <w:tcPr>
            <w:tcW w:type="dxa" w:w="720"/>
          </w:tcPr>
          <w:p>
            <w:r>
              <w:t>0.8508048444572742</w:t>
            </w:r>
          </w:p>
        </w:tc>
        <w:tc>
          <w:tcPr>
            <w:tcW w:type="dxa" w:w="720"/>
          </w:tcPr>
          <w:p>
            <w:r>
              <w:t>0.10767640582084967</w:t>
            </w:r>
          </w:p>
        </w:tc>
        <w:tc>
          <w:tcPr>
            <w:tcW w:type="dxa" w:w="720"/>
          </w:tcPr>
          <w:p>
            <w:r>
              <w:t>1.16</w:t>
            </w:r>
          </w:p>
        </w:tc>
        <w:tc>
          <w:tcPr>
            <w:tcW w:type="dxa" w:w="720"/>
          </w:tcPr>
          <w:p>
            <w:r>
              <w:t>4.164038991265346</w:t>
            </w:r>
          </w:p>
        </w:tc>
        <w:tc>
          <w:tcPr>
            <w:tcW w:type="dxa" w:w="720"/>
          </w:tcPr>
          <w:p>
            <w:r>
              <w:t>1.5584874034467602</w:t>
            </w:r>
          </w:p>
        </w:tc>
        <w:tc>
          <w:tcPr>
            <w:tcW w:type="dxa" w:w="720"/>
          </w:tcPr>
          <w:p>
            <w:r>
              <w:t>0.7989013680117711</w:t>
            </w:r>
          </w:p>
        </w:tc>
        <w:tc>
          <w:tcPr>
            <w:tcW w:type="dxa" w:w="720"/>
          </w:tcPr>
          <w:p>
            <w:r>
              <w:t>93.39384905253226</w:t>
            </w:r>
          </w:p>
        </w:tc>
        <w:tc>
          <w:tcPr>
            <w:tcW w:type="dxa" w:w="720"/>
          </w:tcPr>
          <w:p>
            <w:r>
              <w:t>0.8495244866108183</w:t>
            </w:r>
          </w:p>
        </w:tc>
        <w:tc>
          <w:tcPr>
            <w:tcW w:type="dxa" w:w="720"/>
          </w:tcPr>
          <w:p>
            <w:r>
              <w:t>0.8492293539143418</w:t>
            </w:r>
          </w:p>
        </w:tc>
        <w:tc>
          <w:tcPr>
            <w:tcW w:type="dxa" w:w="720"/>
          </w:tcPr>
          <w:p>
            <w:r>
              <w:t>0.8509380042454062</w:t>
            </w:r>
          </w:p>
        </w:tc>
        <w:tc>
          <w:tcPr>
            <w:tcW w:type="dxa" w:w="720"/>
          </w:tcPr>
          <w:p>
            <w:r>
              <w:t>0.4035826485804243</w:t>
            </w:r>
          </w:p>
        </w:tc>
      </w:tr>
      <w:tr>
        <w:tc>
          <w:tcPr>
            <w:tcW w:type="dxa" w:w="720"/>
          </w:tcPr>
          <w:p>
            <w:r>
              <w:t>RandomForest</w:t>
            </w:r>
          </w:p>
        </w:tc>
        <w:tc>
          <w:tcPr>
            <w:tcW w:type="dxa" w:w="720"/>
          </w:tcPr>
          <w:p>
            <w:r>
              <w:t>0.8498155364842747</w:t>
            </w:r>
          </w:p>
        </w:tc>
        <w:tc>
          <w:tcPr>
            <w:tcW w:type="dxa" w:w="720"/>
          </w:tcPr>
          <w:p>
            <w:r>
              <w:t>0.0933697808645637</w:t>
            </w:r>
          </w:p>
        </w:tc>
        <w:tc>
          <w:tcPr>
            <w:tcW w:type="dxa" w:w="720"/>
          </w:tcPr>
          <w:p>
            <w:r>
              <w:t>14.21</w:t>
            </w:r>
          </w:p>
        </w:tc>
        <w:tc>
          <w:tcPr>
            <w:tcW w:type="dxa" w:w="720"/>
          </w:tcPr>
          <w:p>
            <w:r>
              <w:t>4.742701593251591</w:t>
            </w:r>
          </w:p>
        </w:tc>
        <w:tc>
          <w:tcPr>
            <w:tcW w:type="dxa" w:w="720"/>
          </w:tcPr>
          <w:p>
            <w:r>
              <w:t>1.459207277357398</w:t>
            </w:r>
          </w:p>
        </w:tc>
        <w:tc>
          <w:tcPr>
            <w:tcW w:type="dxa" w:w="720"/>
          </w:tcPr>
          <w:p>
            <w:r>
              <w:t>0.7400000000000002</w:t>
            </w:r>
          </w:p>
        </w:tc>
        <w:tc>
          <w:tcPr>
            <w:tcW w:type="dxa" w:w="720"/>
          </w:tcPr>
          <w:p>
            <w:r>
              <w:t>105.12615900172788</w:t>
            </w:r>
          </w:p>
        </w:tc>
        <w:tc>
          <w:tcPr>
            <w:tcW w:type="dxa" w:w="720"/>
          </w:tcPr>
          <w:p>
            <w:r>
              <w:t>0.8047963837927876</w:t>
            </w:r>
          </w:p>
        </w:tc>
        <w:tc>
          <w:tcPr>
            <w:tcW w:type="dxa" w:w="720"/>
          </w:tcPr>
          <w:p>
            <w:r>
              <w:t>0.8044135243606076</w:t>
            </w:r>
          </w:p>
        </w:tc>
        <w:tc>
          <w:tcPr>
            <w:tcW w:type="dxa" w:w="720"/>
          </w:tcPr>
          <w:p>
            <w:r>
              <w:t>0.8054231219369139</w:t>
            </w:r>
          </w:p>
        </w:tc>
        <w:tc>
          <w:tcPr>
            <w:tcW w:type="dxa" w:w="720"/>
          </w:tcPr>
          <w:p>
            <w:r>
              <w:t>0.26873543421439194</w:t>
            </w:r>
          </w:p>
        </w:tc>
      </w:tr>
      <w:tr>
        <w:tc>
          <w:tcPr>
            <w:tcW w:type="dxa" w:w="720"/>
          </w:tcPr>
          <w:p>
            <w:r>
              <w:t>ExtraTrees</w:t>
            </w:r>
          </w:p>
        </w:tc>
        <w:tc>
          <w:tcPr>
            <w:tcW w:type="dxa" w:w="720"/>
          </w:tcPr>
          <w:p>
            <w:r>
              <w:t>0.8350831526166923</w:t>
            </w:r>
          </w:p>
        </w:tc>
        <w:tc>
          <w:tcPr>
            <w:tcW w:type="dxa" w:w="720"/>
          </w:tcPr>
          <w:p>
            <w:r>
              <w:t>0.10651675649741897</w:t>
            </w:r>
          </w:p>
        </w:tc>
        <w:tc>
          <w:tcPr>
            <w:tcW w:type="dxa" w:w="720"/>
          </w:tcPr>
          <w:p>
            <w:r>
              <w:t>11.4</w:t>
            </w:r>
          </w:p>
        </w:tc>
        <w:tc>
          <w:tcPr>
            <w:tcW w:type="dxa" w:w="720"/>
          </w:tcPr>
          <w:p>
            <w:r>
              <w:t>5.123572790930315</w:t>
            </w:r>
          </w:p>
        </w:tc>
        <w:tc>
          <w:tcPr>
            <w:tcW w:type="dxa" w:w="720"/>
          </w:tcPr>
          <w:p>
            <w:r>
              <w:t>1.5873033909626109</w:t>
            </w:r>
          </w:p>
        </w:tc>
        <w:tc>
          <w:tcPr>
            <w:tcW w:type="dxa" w:w="720"/>
          </w:tcPr>
          <w:p>
            <w:r>
              <w:t>0.8116666666666674</w:t>
            </w:r>
          </w:p>
        </w:tc>
        <w:tc>
          <w:tcPr>
            <w:tcW w:type="dxa" w:w="720"/>
          </w:tcPr>
          <w:p>
            <w:r>
              <w:t>74.91427441033527</w:t>
            </w:r>
          </w:p>
        </w:tc>
        <w:tc>
          <w:tcPr>
            <w:tcW w:type="dxa" w:w="720"/>
          </w:tcPr>
          <w:p>
            <w:r>
              <w:t>0.7721851237548703</w:t>
            </w:r>
          </w:p>
        </w:tc>
        <w:tc>
          <w:tcPr>
            <w:tcW w:type="dxa" w:w="720"/>
          </w:tcPr>
          <w:p>
            <w:r>
              <w:t>0.7717383027591527</w:t>
            </w:r>
          </w:p>
        </w:tc>
        <w:tc>
          <w:tcPr>
            <w:tcW w:type="dxa" w:w="720"/>
          </w:tcPr>
          <w:p>
            <w:r>
              <w:t>0.7729419214599478</w:t>
            </w:r>
          </w:p>
        </w:tc>
        <w:tc>
          <w:tcPr>
            <w:tcW w:type="dxa" w:w="720"/>
          </w:tcPr>
          <w:p>
            <w:r>
              <w:t>0.29530566196001684</w:t>
            </w:r>
          </w:p>
        </w:tc>
      </w:tr>
      <w:tr>
        <w:tc>
          <w:tcPr>
            <w:tcW w:type="dxa" w:w="720"/>
          </w:tcPr>
          <w:p>
            <w:r>
              <w:t>Ridge</w:t>
            </w:r>
          </w:p>
        </w:tc>
        <w:tc>
          <w:tcPr>
            <w:tcW w:type="dxa" w:w="720"/>
          </w:tcPr>
          <w:p>
            <w:r>
              <w:t>0.8171607987358837</w:t>
            </w:r>
          </w:p>
        </w:tc>
        <w:tc>
          <w:tcPr>
            <w:tcW w:type="dxa" w:w="720"/>
          </w:tcPr>
          <w:p>
            <w:r>
              <w:t>0.0858616978598232</w:t>
            </w:r>
          </w:p>
        </w:tc>
        <w:tc>
          <w:tcPr>
            <w:tcW w:type="dxa" w:w="720"/>
          </w:tcPr>
          <w:p>
            <w:r>
              <w:t>2.79</w:t>
            </w:r>
          </w:p>
        </w:tc>
        <w:tc>
          <w:tcPr>
            <w:tcW w:type="dxa" w:w="720"/>
          </w:tcPr>
          <w:p>
            <w:r>
              <w:t>4.405227075302618</w:t>
            </w:r>
          </w:p>
        </w:tc>
        <w:tc>
          <w:tcPr>
            <w:tcW w:type="dxa" w:w="720"/>
          </w:tcPr>
          <w:p>
            <w:r>
              <w:t>1.7737085845142169</w:t>
            </w:r>
          </w:p>
        </w:tc>
        <w:tc>
          <w:tcPr>
            <w:tcW w:type="dxa" w:w="720"/>
          </w:tcPr>
          <w:p>
            <w:r>
              <w:t>1.0699088303179618</w:t>
            </w:r>
          </w:p>
        </w:tc>
        <w:tc>
          <w:tcPr>
            <w:tcW w:type="dxa" w:w="720"/>
          </w:tcPr>
          <w:p>
            <w:r>
              <w:t>206.42910654305348</w:t>
            </w:r>
          </w:p>
        </w:tc>
        <w:tc>
          <w:tcPr>
            <w:tcW w:type="dxa" w:w="720"/>
          </w:tcPr>
          <w:p>
            <w:r>
              <w:t>0.8315880678971884</w:t>
            </w:r>
          </w:p>
        </w:tc>
        <w:tc>
          <w:tcPr>
            <w:tcW w:type="dxa" w:w="720"/>
          </w:tcPr>
          <w:p>
            <w:r>
              <w:t>0.8312577558981076</w:t>
            </w:r>
          </w:p>
        </w:tc>
        <w:tc>
          <w:tcPr>
            <w:tcW w:type="dxa" w:w="720"/>
          </w:tcPr>
          <w:p>
            <w:r>
              <w:t>0.8318528457811336</w:t>
            </w:r>
          </w:p>
        </w:tc>
        <w:tc>
          <w:tcPr>
            <w:tcW w:type="dxa" w:w="720"/>
          </w:tcPr>
          <w:p>
            <w:r>
              <w:t>0.17467177123478286</w:t>
            </w:r>
          </w:p>
        </w:tc>
      </w:tr>
      <w:tr>
        <w:tc>
          <w:tcPr>
            <w:tcW w:type="dxa" w:w="720"/>
          </w:tcPr>
          <w:p>
            <w:r>
              <w:t>XGBoost</w:t>
            </w:r>
          </w:p>
        </w:tc>
        <w:tc>
          <w:tcPr>
            <w:tcW w:type="dxa" w:w="720"/>
          </w:tcPr>
          <w:p>
            <w:r>
              <w:t>0.7961905962475818</w:t>
            </w:r>
          </w:p>
        </w:tc>
        <w:tc>
          <w:tcPr>
            <w:tcW w:type="dxa" w:w="720"/>
          </w:tcPr>
          <w:p>
            <w:r>
              <w:t>0.10262979136416714</w:t>
            </w:r>
          </w:p>
        </w:tc>
        <w:tc>
          <w:tcPr>
            <w:tcW w:type="dxa" w:w="720"/>
          </w:tcPr>
          <w:p>
            <w:r>
              <w:t>0.78</w:t>
            </w:r>
          </w:p>
        </w:tc>
        <w:tc>
          <w:tcPr>
            <w:tcW w:type="dxa" w:w="720"/>
          </w:tcPr>
          <w:p>
            <w:r>
              <w:t>5.7375941819975855</w:t>
            </w:r>
          </w:p>
        </w:tc>
        <w:tc>
          <w:tcPr>
            <w:tcW w:type="dxa" w:w="720"/>
          </w:tcPr>
          <w:p>
            <w:r>
              <w:t>1.6157339758986566</w:t>
            </w:r>
          </w:p>
        </w:tc>
        <w:tc>
          <w:tcPr>
            <w:tcW w:type="dxa" w:w="720"/>
          </w:tcPr>
          <w:p>
            <w:r>
              <w:t>0.7166938781738281</w:t>
            </w:r>
          </w:p>
        </w:tc>
        <w:tc>
          <w:tcPr>
            <w:tcW w:type="dxa" w:w="720"/>
          </w:tcPr>
          <w:p>
            <w:r>
              <w:t>115.68547038519313</w:t>
            </w:r>
          </w:p>
        </w:tc>
        <w:tc>
          <w:tcPr>
            <w:tcW w:type="dxa" w:w="720"/>
          </w:tcPr>
          <w:p>
            <w:r>
              <w:t>0.714309424630216</w:t>
            </w:r>
          </w:p>
        </w:tc>
        <w:tc>
          <w:tcPr>
            <w:tcW w:type="dxa" w:w="720"/>
          </w:tcPr>
          <w:p>
            <w:r>
              <w:t>0.7137490900749937</w:t>
            </w:r>
          </w:p>
        </w:tc>
        <w:tc>
          <w:tcPr>
            <w:tcW w:type="dxa" w:w="720"/>
          </w:tcPr>
          <w:p>
            <w:r>
              <w:t>0.7163888217027873</w:t>
            </w:r>
          </w:p>
        </w:tc>
        <w:tc>
          <w:tcPr>
            <w:tcW w:type="dxa" w:w="720"/>
          </w:tcPr>
          <w:p>
            <w:r>
              <w:t>0.4894976202409606</w:t>
            </w:r>
          </w:p>
        </w:tc>
      </w:tr>
    </w:tbl>
    <w:p/>
    <w:p>
      <w:pPr>
        <w:pStyle w:val="Heading1"/>
      </w:pPr>
      <w:r>
        <w:rPr>
          <w:rFonts w:ascii="Calibri" w:hAnsi="Calibri"/>
          <w:color w:val="4B46FA"/>
        </w:rPr>
        <w:t>Robustness &amp; Compliance</w:t>
      </w:r>
    </w:p>
    <w:p>
      <w:pPr>
        <w:pStyle w:val="Heading2"/>
      </w:pPr>
      <w:r>
        <w:rPr>
          <w:rFonts w:ascii="Calibri" w:hAnsi="Calibri"/>
          <w:color w:val="4B46FA"/>
        </w:rPr>
        <w:t>Deployment gates</w:t>
      </w:r>
    </w:p>
    <w:tbl>
      <w:tblPr>
        <w:tblStyle w:val="TableGrid"/>
        <w:tblW w:type="auto" w:w="0"/>
        <w:tblLook w:firstColumn="1" w:firstRow="1" w:lastColumn="0" w:lastRow="0" w:noHBand="0" w:noVBand="1" w:val="04A0"/>
      </w:tblPr>
      <w:tblGrid>
        <w:gridCol w:w="4320"/>
        <w:gridCol w:w="4320"/>
      </w:tblGrid>
      <w:tr>
        <w:tc>
          <w:tcPr>
            <w:tcW w:type="dxa" w:w="4320"/>
            <w:shd w:val="clear" w:color="auto" w:fill="4B46FA"/>
          </w:tcPr>
          <w:p>
            <w:r>
              <w:rPr>
                <w:b/>
                <w:color w:val="FBFBFD"/>
              </w:rPr>
              <w:t>Check</w:t>
            </w:r>
          </w:p>
        </w:tc>
        <w:tc>
          <w:tcPr>
            <w:tcW w:type="dxa" w:w="4320"/>
            <w:shd w:val="clear" w:color="auto" w:fill="4B46FA"/>
          </w:tcPr>
          <w:p>
            <w:r>
              <w:rPr>
                <w:b/>
                <w:color w:val="FBFBFD"/>
              </w:rPr>
              <w:t>Value</w:t>
            </w:r>
          </w:p>
        </w:tc>
      </w:tr>
      <w:tr>
        <w:tc>
          <w:tcPr>
            <w:tcW w:type="dxa" w:w="4320"/>
          </w:tcPr>
          <w:p>
            <w:r>
              <w:t>boundary_accuracy</w:t>
            </w:r>
          </w:p>
        </w:tc>
        <w:tc>
          <w:tcPr>
            <w:tcW w:type="dxa" w:w="4320"/>
          </w:tcPr>
          <w:p>
            <w:r/>
          </w:p>
        </w:tc>
      </w:tr>
      <w:tr>
        <w:tc>
          <w:tcPr>
            <w:tcW w:type="dxa" w:w="4320"/>
          </w:tcPr>
          <w:p>
            <w:r>
              <w:t>abstention_accuracy</w:t>
            </w:r>
          </w:p>
        </w:tc>
        <w:tc>
          <w:tcPr>
            <w:tcW w:type="dxa" w:w="4320"/>
          </w:tcPr>
          <w:p>
            <w:r/>
          </w:p>
        </w:tc>
      </w:tr>
      <w:tr>
        <w:tc>
          <w:tcPr>
            <w:tcW w:type="dxa" w:w="4320"/>
          </w:tcPr>
          <w:p>
            <w:r>
              <w:t>leakage_rate</w:t>
            </w:r>
          </w:p>
        </w:tc>
        <w:tc>
          <w:tcPr>
            <w:tcW w:type="dxa" w:w="4320"/>
          </w:tcPr>
          <w:p>
            <w:r>
              <w:t>0.0000</w:t>
            </w:r>
          </w:p>
        </w:tc>
      </w:tr>
      <w:tr>
        <w:tc>
          <w:tcPr>
            <w:tcW w:type="dxa" w:w="4320"/>
          </w:tcPr>
          <w:p>
            <w:r>
              <w:t>gate:performance_pass</w:t>
            </w:r>
          </w:p>
        </w:tc>
        <w:tc>
          <w:tcPr>
            <w:tcW w:type="dxa" w:w="4320"/>
          </w:tcPr>
          <w:p>
            <w:r>
              <w:t>False</w:t>
            </w:r>
          </w:p>
        </w:tc>
      </w:tr>
      <w:tr>
        <w:tc>
          <w:tcPr>
            <w:tcW w:type="dxa" w:w="4320"/>
          </w:tcPr>
          <w:p>
            <w:r>
              <w:t>gate:recall_pass</w:t>
            </w:r>
          </w:p>
        </w:tc>
        <w:tc>
          <w:tcPr>
            <w:tcW w:type="dxa" w:w="4320"/>
          </w:tcPr>
          <w:p>
            <w:r>
              <w:t>True</w:t>
            </w:r>
          </w:p>
        </w:tc>
      </w:tr>
      <w:tr>
        <w:tc>
          <w:tcPr>
            <w:tcW w:type="dxa" w:w="4320"/>
          </w:tcPr>
          <w:p>
            <w:r>
              <w:t>gate:privacy_pass</w:t>
            </w:r>
          </w:p>
        </w:tc>
        <w:tc>
          <w:tcPr>
            <w:tcW w:type="dxa" w:w="4320"/>
          </w:tcPr>
          <w:p>
            <w:r>
              <w:t>True</w:t>
            </w:r>
          </w:p>
        </w:tc>
      </w:tr>
      <w:tr>
        <w:tc>
          <w:tcPr>
            <w:tcW w:type="dxa" w:w="4320"/>
          </w:tcPr>
          <w:p>
            <w:r>
              <w:t>gate:boundary_pass</w:t>
            </w:r>
          </w:p>
        </w:tc>
        <w:tc>
          <w:tcPr>
            <w:tcW w:type="dxa" w:w="4320"/>
          </w:tcPr>
          <w:p>
            <w:r>
              <w:t>True</w:t>
            </w:r>
          </w:p>
        </w:tc>
      </w:tr>
      <w:tr>
        <w:tc>
          <w:tcPr>
            <w:tcW w:type="dxa" w:w="4320"/>
          </w:tcPr>
          <w:p>
            <w:r>
              <w:t>gate:deployment_allowed</w:t>
            </w:r>
          </w:p>
        </w:tc>
        <w:tc>
          <w:tcPr>
            <w:tcW w:type="dxa" w:w="4320"/>
          </w:tcPr>
          <w:p>
            <w:r>
              <w:t>False</w:t>
            </w:r>
          </w:p>
        </w:tc>
      </w:tr>
      <w:tr>
        <w:tc>
          <w:tcPr>
            <w:tcW w:type="dxa" w:w="4320"/>
          </w:tcPr>
          <w:p>
            <w:r>
              <w:t>gate:note</w:t>
            </w:r>
          </w:p>
        </w:tc>
        <w:tc>
          <w:tcPr>
            <w:tcW w:type="dxa" w:w="4320"/>
          </w:tcPr>
          <w:p>
            <w:r>
              <w:t>One or more gates failed - hold deployment and review.</w:t>
            </w:r>
          </w:p>
        </w:tc>
      </w:tr>
    </w:tbl>
    <w:p/>
    <w:p>
      <w:pPr>
        <w:pStyle w:val="Heading1"/>
      </w:pPr>
      <w:r>
        <w:rPr>
          <w:rFonts w:ascii="Calibri" w:hAnsi="Calibri"/>
          <w:color w:val="4B46FA"/>
        </w:rPr>
        <w:t>Figures</w:t>
      </w:r>
    </w:p>
    <w:p>
      <w:pPr>
        <w:pStyle w:val="Heading2"/>
      </w:pPr>
      <w:r>
        <w:rPr>
          <w:rFonts w:ascii="Calibri" w:hAnsi="Calibri"/>
          <w:color w:val="4B46FA"/>
        </w:rPr>
        <w:t>Charts and maps</w:t>
      </w:r>
    </w:p>
    <w:p>
      <w:r>
        <w:drawing>
          <wp:inline xmlns:a="http://schemas.openxmlformats.org/drawingml/2006/main" xmlns:pic="http://schemas.openxmlformats.org/drawingml/2006/picture">
            <wp:extent cx="5669280" cy="2688650"/>
            <wp:docPr id="1" name="Picture 1"/>
            <wp:cNvGraphicFramePr>
              <a:graphicFrameLocks noChangeAspect="1"/>
            </wp:cNvGraphicFramePr>
            <a:graphic>
              <a:graphicData uri="http://schemas.openxmlformats.org/drawingml/2006/picture">
                <pic:pic>
                  <pic:nvPicPr>
                    <pic:cNvPr id="0" name="02_distributions.png"/>
                    <pic:cNvPicPr/>
                  </pic:nvPicPr>
                  <pic:blipFill>
                    <a:blip r:embed="rId9"/>
                    <a:stretch>
                      <a:fillRect/>
                    </a:stretch>
                  </pic:blipFill>
                  <pic:spPr>
                    <a:xfrm>
                      <a:off x="0" y="0"/>
                      <a:ext cx="5669280" cy="2688650"/>
                    </a:xfrm>
                    <a:prstGeom prst="rect"/>
                  </pic:spPr>
                </pic:pic>
              </a:graphicData>
            </a:graphic>
          </wp:inline>
        </w:drawing>
      </w:r>
    </w:p>
    <w:p>
      <w:r>
        <w:rPr>
          <w:i/>
          <w:color w:val="7A7E83"/>
          <w:sz w:val="18"/>
        </w:rPr>
        <w:t>02_distributions.png</w:t>
      </w:r>
    </w:p>
    <w:p>
      <w:r>
        <w:drawing>
          <wp:inline xmlns:a="http://schemas.openxmlformats.org/drawingml/2006/main" xmlns:pic="http://schemas.openxmlformats.org/drawingml/2006/picture">
            <wp:extent cx="5669280" cy="5129166"/>
            <wp:docPr id="2" name="Picture 2"/>
            <wp:cNvGraphicFramePr>
              <a:graphicFrameLocks noChangeAspect="1"/>
            </wp:cNvGraphicFramePr>
            <a:graphic>
              <a:graphicData uri="http://schemas.openxmlformats.org/drawingml/2006/picture">
                <pic:pic>
                  <pic:nvPicPr>
                    <pic:cNvPr id="0" name="03_correlation.png"/>
                    <pic:cNvPicPr/>
                  </pic:nvPicPr>
                  <pic:blipFill>
                    <a:blip r:embed="rId10"/>
                    <a:stretch>
                      <a:fillRect/>
                    </a:stretch>
                  </pic:blipFill>
                  <pic:spPr>
                    <a:xfrm>
                      <a:off x="0" y="0"/>
                      <a:ext cx="5669280" cy="5129166"/>
                    </a:xfrm>
                    <a:prstGeom prst="rect"/>
                  </pic:spPr>
                </pic:pic>
              </a:graphicData>
            </a:graphic>
          </wp:inline>
        </w:drawing>
      </w:r>
    </w:p>
    <w:p>
      <w:r>
        <w:rPr>
          <w:i/>
          <w:color w:val="7A7E83"/>
          <w:sz w:val="18"/>
        </w:rPr>
        <w:t>03_correlation.png</w:t>
      </w:r>
    </w:p>
    <w:p>
      <w:r>
        <w:drawing>
          <wp:inline xmlns:a="http://schemas.openxmlformats.org/drawingml/2006/main" xmlns:pic="http://schemas.openxmlformats.org/drawingml/2006/picture">
            <wp:extent cx="5669280" cy="5963600"/>
            <wp:docPr id="3" name="Picture 3"/>
            <wp:cNvGraphicFramePr>
              <a:graphicFrameLocks noChangeAspect="1"/>
            </wp:cNvGraphicFramePr>
            <a:graphic>
              <a:graphicData uri="http://schemas.openxmlformats.org/drawingml/2006/picture">
                <pic:pic>
                  <pic:nvPicPr>
                    <pic:cNvPr id="0" name="04_vif.png"/>
                    <pic:cNvPicPr/>
                  </pic:nvPicPr>
                  <pic:blipFill>
                    <a:blip r:embed="rId11"/>
                    <a:stretch>
                      <a:fillRect/>
                    </a:stretch>
                  </pic:blipFill>
                  <pic:spPr>
                    <a:xfrm>
                      <a:off x="0" y="0"/>
                      <a:ext cx="5669280" cy="5963600"/>
                    </a:xfrm>
                    <a:prstGeom prst="rect"/>
                  </pic:spPr>
                </pic:pic>
              </a:graphicData>
            </a:graphic>
          </wp:inline>
        </w:drawing>
      </w:r>
    </w:p>
    <w:p>
      <w:r>
        <w:rPr>
          <w:i/>
          <w:color w:val="7A7E83"/>
          <w:sz w:val="18"/>
        </w:rPr>
        <w:t>04_vif.png</w:t>
      </w:r>
    </w:p>
    <w:p>
      <w:r>
        <w:drawing>
          <wp:inline xmlns:a="http://schemas.openxmlformats.org/drawingml/2006/main" xmlns:pic="http://schemas.openxmlformats.org/drawingml/2006/picture">
            <wp:extent cx="5669280" cy="3192087"/>
            <wp:docPr id="4" name="Picture 4"/>
            <wp:cNvGraphicFramePr>
              <a:graphicFrameLocks noChangeAspect="1"/>
            </wp:cNvGraphicFramePr>
            <a:graphic>
              <a:graphicData uri="http://schemas.openxmlformats.org/drawingml/2006/picture">
                <pic:pic>
                  <pic:nvPicPr>
                    <pic:cNvPr id="0" name="05_target.png"/>
                    <pic:cNvPicPr/>
                  </pic:nvPicPr>
                  <pic:blipFill>
                    <a:blip r:embed="rId12"/>
                    <a:stretch>
                      <a:fillRect/>
                    </a:stretch>
                  </pic:blipFill>
                  <pic:spPr>
                    <a:xfrm>
                      <a:off x="0" y="0"/>
                      <a:ext cx="5669280" cy="3192087"/>
                    </a:xfrm>
                    <a:prstGeom prst="rect"/>
                  </pic:spPr>
                </pic:pic>
              </a:graphicData>
            </a:graphic>
          </wp:inline>
        </w:drawing>
      </w:r>
    </w:p>
    <w:p>
      <w:r>
        <w:rPr>
          <w:i/>
          <w:color w:val="7A7E83"/>
          <w:sz w:val="18"/>
        </w:rPr>
        <w:t>05_target.png</w:t>
      </w:r>
    </w:p>
    <w:p>
      <w:r>
        <w:drawing>
          <wp:inline xmlns:a="http://schemas.openxmlformats.org/drawingml/2006/main" xmlns:pic="http://schemas.openxmlformats.org/drawingml/2006/picture">
            <wp:extent cx="5669280" cy="5682253"/>
            <wp:docPr id="5" name="Picture 5"/>
            <wp:cNvGraphicFramePr>
              <a:graphicFrameLocks noChangeAspect="1"/>
            </wp:cNvGraphicFramePr>
            <a:graphic>
              <a:graphicData uri="http://schemas.openxmlformats.org/drawingml/2006/picture">
                <pic:pic>
                  <pic:nvPicPr>
                    <pic:cNvPr id="0" name="10_pred_vs_actual.png"/>
                    <pic:cNvPicPr/>
                  </pic:nvPicPr>
                  <pic:blipFill>
                    <a:blip r:embed="rId13"/>
                    <a:stretch>
                      <a:fillRect/>
                    </a:stretch>
                  </pic:blipFill>
                  <pic:spPr>
                    <a:xfrm>
                      <a:off x="0" y="0"/>
                      <a:ext cx="5669280" cy="5682253"/>
                    </a:xfrm>
                    <a:prstGeom prst="rect"/>
                  </pic:spPr>
                </pic:pic>
              </a:graphicData>
            </a:graphic>
          </wp:inline>
        </w:drawing>
      </w:r>
    </w:p>
    <w:p>
      <w:r>
        <w:rPr>
          <w:i/>
          <w:color w:val="7A7E83"/>
          <w:sz w:val="18"/>
        </w:rPr>
        <w:t>10_pred_vs_actual.png</w:t>
      </w:r>
    </w:p>
    <w:p>
      <w:r>
        <w:drawing>
          <wp:inline xmlns:a="http://schemas.openxmlformats.org/drawingml/2006/main" xmlns:pic="http://schemas.openxmlformats.org/drawingml/2006/picture">
            <wp:extent cx="5669280" cy="2009542"/>
            <wp:docPr id="6" name="Picture 6"/>
            <wp:cNvGraphicFramePr>
              <a:graphicFrameLocks noChangeAspect="1"/>
            </wp:cNvGraphicFramePr>
            <a:graphic>
              <a:graphicData uri="http://schemas.openxmlformats.org/drawingml/2006/picture">
                <pic:pic>
                  <pic:nvPicPr>
                    <pic:cNvPr id="0" name="11_residuals.png"/>
                    <pic:cNvPicPr/>
                  </pic:nvPicPr>
                  <pic:blipFill>
                    <a:blip r:embed="rId14"/>
                    <a:stretch>
                      <a:fillRect/>
                    </a:stretch>
                  </pic:blipFill>
                  <pic:spPr>
                    <a:xfrm>
                      <a:off x="0" y="0"/>
                      <a:ext cx="5669280" cy="2009542"/>
                    </a:xfrm>
                    <a:prstGeom prst="rect"/>
                  </pic:spPr>
                </pic:pic>
              </a:graphicData>
            </a:graphic>
          </wp:inline>
        </w:drawing>
      </w:r>
    </w:p>
    <w:p>
      <w:r>
        <w:rPr>
          <w:i/>
          <w:color w:val="7A7E83"/>
          <w:sz w:val="18"/>
        </w:rPr>
        <w:t>11_residuals.png</w:t>
      </w:r>
    </w:p>
    <w:p>
      <w:r>
        <w:drawing>
          <wp:inline xmlns:a="http://schemas.openxmlformats.org/drawingml/2006/main" xmlns:pic="http://schemas.openxmlformats.org/drawingml/2006/picture">
            <wp:extent cx="5669280" cy="2337936"/>
            <wp:docPr id="7" name="Picture 7"/>
            <wp:cNvGraphicFramePr>
              <a:graphicFrameLocks noChangeAspect="1"/>
            </wp:cNvGraphicFramePr>
            <a:graphic>
              <a:graphicData uri="http://schemas.openxmlformats.org/drawingml/2006/picture">
                <pic:pic>
                  <pic:nvPicPr>
                    <pic:cNvPr id="0" name="12_leaderboard.png"/>
                    <pic:cNvPicPr/>
                  </pic:nvPicPr>
                  <pic:blipFill>
                    <a:blip r:embed="rId15"/>
                    <a:stretch>
                      <a:fillRect/>
                    </a:stretch>
                  </pic:blipFill>
                  <pic:spPr>
                    <a:xfrm>
                      <a:off x="0" y="0"/>
                      <a:ext cx="5669280" cy="2337936"/>
                    </a:xfrm>
                    <a:prstGeom prst="rect"/>
                  </pic:spPr>
                </pic:pic>
              </a:graphicData>
            </a:graphic>
          </wp:inline>
        </w:drawing>
      </w:r>
    </w:p>
    <w:p>
      <w:r>
        <w:rPr>
          <w:i/>
          <w:color w:val="7A7E83"/>
          <w:sz w:val="18"/>
        </w:rPr>
        <w:t>12_leaderboard.png</w:t>
      </w:r>
    </w:p>
    <w:p>
      <w:r>
        <w:drawing>
          <wp:inline xmlns:a="http://schemas.openxmlformats.org/drawingml/2006/main" xmlns:pic="http://schemas.openxmlformats.org/drawingml/2006/picture">
            <wp:extent cx="5669280" cy="4443751"/>
            <wp:docPr id="8" name="Picture 8"/>
            <wp:cNvGraphicFramePr>
              <a:graphicFrameLocks noChangeAspect="1"/>
            </wp:cNvGraphicFramePr>
            <a:graphic>
              <a:graphicData uri="http://schemas.openxmlformats.org/drawingml/2006/picture">
                <pic:pic>
                  <pic:nvPicPr>
                    <pic:cNvPr id="0" name="13_feature_importance.png"/>
                    <pic:cNvPicPr/>
                  </pic:nvPicPr>
                  <pic:blipFill>
                    <a:blip r:embed="rId16"/>
                    <a:stretch>
                      <a:fillRect/>
                    </a:stretch>
                  </pic:blipFill>
                  <pic:spPr>
                    <a:xfrm>
                      <a:off x="0" y="0"/>
                      <a:ext cx="5669280" cy="4443751"/>
                    </a:xfrm>
                    <a:prstGeom prst="rect"/>
                  </pic:spPr>
                </pic:pic>
              </a:graphicData>
            </a:graphic>
          </wp:inline>
        </w:drawing>
      </w:r>
    </w:p>
    <w:p>
      <w:r>
        <w:rPr>
          <w:i/>
          <w:color w:val="7A7E83"/>
          <w:sz w:val="18"/>
        </w:rPr>
        <w:t>13_feature_importance.png</w:t>
      </w:r>
    </w:p>
    <w:p>
      <w:pPr>
        <w:pStyle w:val="Heading1"/>
      </w:pPr>
      <w:r>
        <w:rPr>
          <w:rFonts w:ascii="Calibri" w:hAnsi="Calibri"/>
          <w:color w:val="4B46FA"/>
        </w:rPr>
        <w:t>Limitations, Risks &amp; Next Steps</w:t>
      </w:r>
    </w:p>
    <w:p>
      <w:pPr>
        <w:pStyle w:val="ListBullet"/>
      </w:pPr>
      <w:r>
        <w:t>Results reflect the data supplied and the assumptions above; validate on a fresh sample before operational use.</w:t>
      </w:r>
    </w:p>
    <w:p>
      <w:pPr>
        <w:pStyle w:val="ListBullet"/>
      </w:pPr>
      <w:r>
        <w:t>If the input was capped (see the run configuration), re-run with a larger extract to confirm stability.</w:t>
      </w:r>
    </w:p>
    <w:p>
      <w:pPr>
        <w:pStyle w:val="ListBullet"/>
      </w:pPr>
      <w:r>
        <w:t>Watch for drift over time and re-train on a schedule; keep the versioned rules and audit hash with each release.</w:t>
      </w:r>
    </w:p>
    <w:p>
      <w:pPr>
        <w:pStyle w:val="Heading1"/>
      </w:pPr>
      <w:r>
        <w:rPr>
          <w:rFonts w:ascii="Calibri" w:hAnsi="Calibri"/>
          <w:color w:val="4B46FA"/>
        </w:rPr>
        <w:t>Appendix - Run Configuration</w:t>
      </w:r>
    </w:p>
    <w:tbl>
      <w:tblPr>
        <w:tblStyle w:val="TableGrid"/>
        <w:tblW w:type="auto" w:w="0"/>
        <w:tblLook w:firstColumn="1" w:firstRow="1" w:lastColumn="0" w:lastRow="0" w:noHBand="0" w:noVBand="1" w:val="04A0"/>
      </w:tblPr>
      <w:tblGrid>
        <w:gridCol w:w="4320"/>
        <w:gridCol w:w="4320"/>
      </w:tblGrid>
      <w:tr>
        <w:tc>
          <w:tcPr>
            <w:tcW w:type="dxa" w:w="4320"/>
            <w:shd w:val="clear" w:color="auto" w:fill="4B46FA"/>
          </w:tcPr>
          <w:p>
            <w:r>
              <w:rPr>
                <w:b/>
                <w:color w:val="FBFBFD"/>
              </w:rPr>
              <w:t>Setting</w:t>
            </w:r>
          </w:p>
        </w:tc>
        <w:tc>
          <w:tcPr>
            <w:tcW w:type="dxa" w:w="4320"/>
            <w:shd w:val="clear" w:color="auto" w:fill="4B46FA"/>
          </w:tcPr>
          <w:p>
            <w:r>
              <w:rPr>
                <w:b/>
                <w:color w:val="FBFBFD"/>
              </w:rPr>
              <w:t>Value</w:t>
            </w:r>
          </w:p>
        </w:tc>
      </w:tr>
      <w:tr>
        <w:tc>
          <w:tcPr>
            <w:tcW w:type="dxa" w:w="4320"/>
          </w:tcPr>
          <w:p>
            <w:r>
              <w:t>domain</w:t>
            </w:r>
          </w:p>
        </w:tc>
        <w:tc>
          <w:tcPr>
            <w:tcW w:type="dxa" w:w="4320"/>
          </w:tcPr>
          <w:p>
            <w:r>
              <w:t>auto</w:t>
            </w:r>
          </w:p>
        </w:tc>
      </w:tr>
      <w:tr>
        <w:tc>
          <w:tcPr>
            <w:tcW w:type="dxa" w:w="4320"/>
          </w:tcPr>
          <w:p>
            <w:r>
              <w:t>target_column</w:t>
            </w:r>
          </w:p>
        </w:tc>
        <w:tc>
          <w:tcPr>
            <w:tcW w:type="dxa" w:w="4320"/>
          </w:tcPr>
          <w:p>
            <w:r>
              <w:t>fare_amount</w:t>
            </w:r>
          </w:p>
        </w:tc>
      </w:tr>
      <w:tr>
        <w:tc>
          <w:tcPr>
            <w:tcW w:type="dxa" w:w="4320"/>
          </w:tcPr>
          <w:p>
            <w:r>
              <w:t>max_rows</w:t>
            </w:r>
          </w:p>
        </w:tc>
        <w:tc>
          <w:tcPr>
            <w:tcW w:type="dxa" w:w="4320"/>
          </w:tcPr>
          <w:p>
            <w:r>
              <w:t>20000</w:t>
            </w:r>
          </w:p>
        </w:tc>
      </w:tr>
      <w:tr>
        <w:tc>
          <w:tcPr>
            <w:tcW w:type="dxa" w:w="4320"/>
          </w:tcPr>
          <w:p>
            <w:r>
              <w:t>test_size</w:t>
            </w:r>
          </w:p>
        </w:tc>
        <w:tc>
          <w:tcPr>
            <w:tcW w:type="dxa" w:w="4320"/>
          </w:tcPr>
          <w:p>
            <w:r>
              <w:t>0.2000</w:t>
            </w:r>
          </w:p>
        </w:tc>
      </w:tr>
      <w:tr>
        <w:tc>
          <w:tcPr>
            <w:tcW w:type="dxa" w:w="4320"/>
          </w:tcPr>
          <w:p>
            <w:r>
              <w:t>cv_folds</w:t>
            </w:r>
          </w:p>
        </w:tc>
        <w:tc>
          <w:tcPr>
            <w:tcW w:type="dxa" w:w="4320"/>
          </w:tcPr>
          <w:p>
            <w:r>
              <w:t>5</w:t>
            </w:r>
          </w:p>
        </w:tc>
      </w:tr>
      <w:tr>
        <w:tc>
          <w:tcPr>
            <w:tcW w:type="dxa" w:w="4320"/>
          </w:tcPr>
          <w:p>
            <w:r>
              <w:t>split_strategy</w:t>
            </w:r>
          </w:p>
        </w:tc>
        <w:tc>
          <w:tcPr>
            <w:tcW w:type="dxa" w:w="4320"/>
          </w:tcPr>
          <w:p>
            <w:r>
              <w:t>auto</w:t>
            </w:r>
          </w:p>
        </w:tc>
      </w:tr>
      <w:tr>
        <w:tc>
          <w:tcPr>
            <w:tcW w:type="dxa" w:w="4320"/>
          </w:tcPr>
          <w:p>
            <w:r>
              <w:t>enable_tuning</w:t>
            </w:r>
          </w:p>
        </w:tc>
        <w:tc>
          <w:tcPr>
            <w:tcW w:type="dxa" w:w="4320"/>
          </w:tcPr>
          <w:p>
            <w:r>
              <w:t>True</w:t>
            </w:r>
          </w:p>
        </w:tc>
      </w:tr>
      <w:tr>
        <w:tc>
          <w:tcPr>
            <w:tcW w:type="dxa" w:w="4320"/>
          </w:tcPr>
          <w:p>
            <w:r>
              <w:t>enable_deep_learning</w:t>
            </w:r>
          </w:p>
        </w:tc>
        <w:tc>
          <w:tcPr>
            <w:tcW w:type="dxa" w:w="4320"/>
          </w:tcPr>
          <w:p>
            <w:r>
              <w:t>False</w:t>
            </w:r>
          </w:p>
        </w:tc>
      </w:tr>
      <w:tr>
        <w:tc>
          <w:tcPr>
            <w:tcW w:type="dxa" w:w="4320"/>
          </w:tcPr>
          <w:p>
            <w:r>
              <w:t>compliance_mode</w:t>
            </w:r>
          </w:p>
        </w:tc>
        <w:tc>
          <w:tcPr>
            <w:tcW w:type="dxa" w:w="4320"/>
          </w:tcPr>
          <w:p>
            <w:r>
              <w:t>True</w:t>
            </w:r>
          </w:p>
        </w:tc>
      </w:tr>
      <w:tr>
        <w:tc>
          <w:tcPr>
            <w:tcW w:type="dxa" w:w="4320"/>
          </w:tcPr>
          <w:p>
            <w:r>
              <w:t>dataset_format</w:t>
            </w:r>
          </w:p>
        </w:tc>
        <w:tc>
          <w:tcPr>
            <w:tcW w:type="dxa" w:w="4320"/>
          </w:tcPr>
          <w:p>
            <w:r>
              <w:t>csv</w:t>
            </w:r>
          </w:p>
        </w:tc>
      </w:tr>
    </w:tbl>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114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